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kern w:val="0"/>
        </w:rPr>
      </w:pPr>
      <w:r>
        <w:rPr>
          <w:kern w:val="0"/>
        </w:rPr>
        <w:drawing>
          <wp:inline distT="0" distB="0" distL="114300" distR="114300">
            <wp:extent cx="948055" cy="952500"/>
            <wp:effectExtent l="0" t="0" r="4445" b="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drawing>
          <wp:inline distT="0" distB="0" distL="114300" distR="114300">
            <wp:extent cx="3362325" cy="791210"/>
            <wp:effectExtent l="0" t="0" r="9525" b="8890"/>
            <wp:docPr id="2" name="图片 4" descr="C:\Users\dell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C:\Users\dell\Desktop\1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480" w:lineRule="auto"/>
        <w:jc w:val="center"/>
        <w:rPr>
          <w:rFonts w:ascii="宋体" w:hAnsi="宋体"/>
          <w:b/>
          <w:kern w:val="0"/>
          <w:sz w:val="32"/>
          <w:szCs w:val="32"/>
        </w:rPr>
      </w:pPr>
    </w:p>
    <w:p>
      <w:pPr>
        <w:snapToGrid w:val="0"/>
        <w:spacing w:line="480" w:lineRule="auto"/>
        <w:jc w:val="center"/>
        <w:rPr>
          <w:rFonts w:ascii="宋体" w:hAnsi="宋体"/>
          <w:b/>
          <w:kern w:val="0"/>
          <w:sz w:val="24"/>
        </w:rPr>
      </w:pPr>
    </w:p>
    <w:p>
      <w:pPr>
        <w:snapToGrid w:val="0"/>
        <w:spacing w:line="480" w:lineRule="auto"/>
        <w:jc w:val="center"/>
        <w:rPr>
          <w:rFonts w:ascii="宋体" w:hAnsi="宋体"/>
          <w:b/>
          <w:kern w:val="0"/>
          <w:sz w:val="24"/>
        </w:rPr>
      </w:pPr>
    </w:p>
    <w:p>
      <w:pPr>
        <w:snapToGrid w:val="0"/>
        <w:spacing w:line="360" w:lineRule="auto"/>
        <w:jc w:val="center"/>
        <w:rPr>
          <w:rFonts w:ascii="方正小标宋简体" w:hAnsi="宋体" w:eastAsia="方正小标宋简体"/>
          <w:kern w:val="0"/>
          <w:sz w:val="84"/>
          <w:szCs w:val="84"/>
        </w:rPr>
      </w:pPr>
      <w:r>
        <w:rPr>
          <w:rFonts w:hint="eastAsia" w:ascii="方正小标宋简体" w:hAnsi="宋体" w:eastAsia="方正小标宋简体"/>
          <w:kern w:val="0"/>
          <w:sz w:val="84"/>
          <w:szCs w:val="84"/>
        </w:rPr>
        <w:t>本科人才培养方案</w:t>
      </w:r>
    </w:p>
    <w:p>
      <w:pPr>
        <w:snapToGrid w:val="0"/>
        <w:spacing w:line="360" w:lineRule="auto"/>
        <w:jc w:val="center"/>
        <w:rPr>
          <w:rFonts w:ascii="方正小标宋简体" w:hAnsi="宋体" w:eastAsia="方正小标宋简体"/>
          <w:kern w:val="0"/>
          <w:sz w:val="50"/>
          <w:szCs w:val="44"/>
        </w:rPr>
      </w:pPr>
    </w:p>
    <w:p>
      <w:pPr>
        <w:snapToGrid w:val="0"/>
        <w:spacing w:line="360" w:lineRule="auto"/>
        <w:jc w:val="center"/>
        <w:rPr>
          <w:rFonts w:ascii="方正楷体简体" w:hAnsi="宋体" w:eastAsia="方正楷体简体"/>
          <w:b/>
          <w:kern w:val="0"/>
          <w:sz w:val="48"/>
          <w:szCs w:val="48"/>
        </w:rPr>
      </w:pPr>
    </w:p>
    <w:p>
      <w:pPr>
        <w:snapToGrid w:val="0"/>
        <w:spacing w:line="360" w:lineRule="auto"/>
        <w:jc w:val="center"/>
        <w:rPr>
          <w:rFonts w:ascii="黑体" w:hAnsi="宋体" w:eastAsia="黑体"/>
          <w:kern w:val="0"/>
          <w:sz w:val="60"/>
          <w:szCs w:val="60"/>
        </w:rPr>
      </w:pPr>
      <w:r>
        <w:rPr>
          <w:rFonts w:hint="eastAsia" w:ascii="黑体" w:hAnsi="宋体" w:eastAsia="黑体"/>
          <w:kern w:val="0"/>
          <w:sz w:val="60"/>
          <w:szCs w:val="60"/>
        </w:rPr>
        <w:t>计算机学院</w:t>
      </w:r>
    </w:p>
    <w:p>
      <w:pPr>
        <w:snapToGrid w:val="0"/>
        <w:spacing w:line="360" w:lineRule="auto"/>
        <w:jc w:val="center"/>
        <w:rPr>
          <w:rFonts w:ascii="方正楷体简体" w:hAnsi="宋体" w:eastAsia="方正楷体简体"/>
          <w:b/>
          <w:kern w:val="0"/>
          <w:sz w:val="48"/>
          <w:szCs w:val="48"/>
        </w:rPr>
      </w:pPr>
    </w:p>
    <w:p>
      <w:pPr>
        <w:snapToGrid w:val="0"/>
        <w:spacing w:line="360" w:lineRule="auto"/>
        <w:jc w:val="center"/>
        <w:rPr>
          <w:rFonts w:ascii="方正楷体简体" w:hAnsi="宋体" w:eastAsia="方正楷体简体"/>
          <w:b/>
          <w:kern w:val="0"/>
          <w:sz w:val="48"/>
          <w:szCs w:val="48"/>
        </w:rPr>
      </w:pPr>
    </w:p>
    <w:p>
      <w:pPr>
        <w:snapToGrid w:val="0"/>
        <w:spacing w:line="360" w:lineRule="auto"/>
        <w:jc w:val="center"/>
        <w:rPr>
          <w:rFonts w:ascii="黑体" w:eastAsia="黑体"/>
          <w:kern w:val="0"/>
          <w:sz w:val="36"/>
          <w:szCs w:val="36"/>
        </w:rPr>
      </w:pPr>
      <w:r>
        <w:rPr>
          <w:rFonts w:hint="eastAsia" w:ascii="黑体" w:eastAsia="黑体"/>
          <w:kern w:val="0"/>
          <w:sz w:val="36"/>
          <w:szCs w:val="36"/>
        </w:rPr>
        <w:t>成都信息工程大学教务处  编印</w:t>
      </w:r>
    </w:p>
    <w:p>
      <w:pPr>
        <w:pStyle w:val="6"/>
        <w:snapToGrid w:val="0"/>
        <w:spacing w:before="312" w:beforeLines="100" w:after="312" w:afterLines="100"/>
        <w:ind w:firstLine="0"/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黑体" w:eastAsia="黑体"/>
          <w:sz w:val="36"/>
          <w:szCs w:val="36"/>
        </w:rPr>
        <w:br w:type="page"/>
      </w:r>
      <w:bookmarkStart w:id="0" w:name="_Toc402514219"/>
      <w:r>
        <w:rPr>
          <w:rFonts w:hint="eastAsia" w:ascii="方正小标宋简体" w:eastAsia="方正小标宋简体"/>
          <w:bCs/>
          <w:sz w:val="32"/>
          <w:szCs w:val="32"/>
        </w:rPr>
        <w:t>关于本科人才培养方案的说明</w:t>
      </w:r>
      <w:bookmarkEnd w:id="0"/>
    </w:p>
    <w:p>
      <w:pPr>
        <w:adjustRightInd w:val="0"/>
        <w:snapToGrid w:val="0"/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一、本校</w:t>
      </w:r>
      <w:r>
        <w:rPr>
          <w:rFonts w:hint="eastAsia" w:ascii="宋体" w:hAnsi="宋体"/>
          <w:szCs w:val="21"/>
        </w:rPr>
        <w:t>所有本科专业学制均为四年，</w:t>
      </w:r>
      <w:r>
        <w:rPr>
          <w:rFonts w:hint="eastAsia" w:ascii="宋体" w:hAnsi="宋体"/>
          <w:kern w:val="0"/>
          <w:szCs w:val="21"/>
        </w:rPr>
        <w:t>各专业人才培养方案据此进行课程设置及学分分配，规定最低毕业学分一般为160-165学分。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二、本人才培养方案中的课程性质分为核心必修、必修、选修三类。在有效学制内，必修课程必须修完，没有通过必修课程考核的，必须参加补考、重修，直至及格；选修课程没有通过的，可重修该课程或选修课程模块中的其他课程，直至选修学分达到课程模块规定的最低要求即可。</w:t>
      </w:r>
    </w:p>
    <w:p>
      <w:pPr>
        <w:pStyle w:val="6"/>
        <w:snapToGrid w:val="0"/>
        <w:spacing w:line="400" w:lineRule="exact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三、</w:t>
      </w:r>
      <w:r>
        <w:rPr>
          <w:rFonts w:ascii="宋体" w:hAnsi="宋体"/>
          <w:sz w:val="21"/>
          <w:szCs w:val="21"/>
        </w:rPr>
        <w:t>创新</w:t>
      </w:r>
      <w:r>
        <w:rPr>
          <w:rFonts w:hint="eastAsia" w:ascii="宋体" w:hAnsi="宋体"/>
          <w:sz w:val="21"/>
          <w:szCs w:val="21"/>
        </w:rPr>
        <w:t>创业</w:t>
      </w:r>
      <w:r>
        <w:rPr>
          <w:rFonts w:ascii="宋体" w:hAnsi="宋体"/>
          <w:sz w:val="21"/>
          <w:szCs w:val="21"/>
        </w:rPr>
        <w:t>教育</w:t>
      </w:r>
      <w:r>
        <w:rPr>
          <w:rFonts w:hint="eastAsia" w:ascii="宋体" w:hAnsi="宋体"/>
          <w:sz w:val="21"/>
          <w:szCs w:val="21"/>
        </w:rPr>
        <w:t>环节中创新创业教育实践部分的学分认定，分为学校标准和学院标准两级。学校标准由教务处联合其他职能部门共同制定，学院标准由各学院自行制定，学生参加的相关活动满足学校标准或学院标准均能获得该项学分。</w:t>
      </w:r>
    </w:p>
    <w:p>
      <w:pPr>
        <w:pStyle w:val="6"/>
        <w:snapToGrid w:val="0"/>
        <w:spacing w:line="400" w:lineRule="exact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四、学生完成本专业人才培养方案中相关教学环节，取得该专业规定的最低学分，准予毕业，对符合《成都信息工程大学学士学位授予工作细则》规定的授予学士学位。学生修完规定学分可以提前毕业（按《成都信息工程大学本科生课程修读管理办法》执行），因各种原因也可以延后毕业，但延长时间不得超过两年。</w:t>
      </w:r>
    </w:p>
    <w:p>
      <w:pPr>
        <w:pStyle w:val="6"/>
        <w:snapToGrid w:val="0"/>
        <w:spacing w:line="400" w:lineRule="exact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五、本人才培养方案在教学运行中，无特殊情况应严格执行。部分课程可能会根据社会需要和学科发展情况做出调整，相关调整应由各教学单位在每学期期初提出申请，经教务处审核批准后执行。</w:t>
      </w:r>
    </w:p>
    <w:p>
      <w:pPr>
        <w:pStyle w:val="6"/>
        <w:snapToGrid w:val="0"/>
        <w:spacing w:line="400" w:lineRule="exact"/>
        <w:jc w:val="left"/>
        <w:rPr>
          <w:rFonts w:ascii="宋体" w:hAnsi="宋体"/>
          <w:sz w:val="21"/>
          <w:szCs w:val="21"/>
        </w:rPr>
      </w:pPr>
    </w:p>
    <w:p>
      <w:pPr>
        <w:pStyle w:val="28"/>
        <w:spacing w:before="312" w:after="312"/>
        <w:ind w:firstLine="0" w:firstLineChars="0"/>
        <w:outlineLvl w:val="0"/>
        <w:rPr>
          <w:rFonts w:ascii="华文中宋" w:hAnsi="华文中宋" w:eastAsia="华文中宋"/>
          <w:b/>
          <w:color w:val="0000FF"/>
        </w:rPr>
      </w:pPr>
      <w:bookmarkStart w:id="1" w:name="_Toc344295447"/>
      <w:bookmarkStart w:id="2" w:name="_Toc283130282"/>
      <w:r>
        <w:rPr>
          <w:color w:val="000000"/>
        </w:rPr>
        <w:br w:type="page"/>
      </w:r>
      <w:bookmarkEnd w:id="1"/>
      <w:bookmarkEnd w:id="2"/>
      <w:bookmarkStart w:id="3" w:name="_Toc344295449"/>
      <w:bookmarkStart w:id="4" w:name="_Toc286218918"/>
      <w:bookmarkStart w:id="5" w:name="_Toc402514224"/>
    </w:p>
    <w:p>
      <w:pPr>
        <w:pStyle w:val="28"/>
        <w:spacing w:before="312" w:after="312"/>
        <w:ind w:firstLine="0" w:firstLineChars="0"/>
        <w:outlineLvl w:val="0"/>
        <w:rPr>
          <w:rFonts w:ascii="华文中宋" w:hAnsi="华文中宋" w:eastAsia="华文中宋"/>
          <w:b/>
        </w:rPr>
      </w:pPr>
      <w:r>
        <w:rPr>
          <w:rFonts w:ascii="华文中宋" w:hAnsi="华文中宋" w:eastAsia="华文中宋"/>
          <w:b/>
        </w:rPr>
        <w:t xml:space="preserve"> 人工智能专业</w:t>
      </w:r>
      <w:r>
        <w:rPr>
          <w:rFonts w:hint="eastAsia" w:ascii="华文中宋" w:hAnsi="华文中宋" w:eastAsia="华文中宋"/>
          <w:b/>
        </w:rPr>
        <w:t>（本科人才培养方案</w:t>
      </w:r>
      <w:bookmarkEnd w:id="3"/>
      <w:bookmarkEnd w:id="4"/>
      <w:r>
        <w:rPr>
          <w:rFonts w:hint="eastAsia" w:ascii="华文中宋" w:hAnsi="华文中宋" w:eastAsia="华文中宋"/>
          <w:b/>
        </w:rPr>
        <w:t>）</w:t>
      </w:r>
      <w:bookmarkEnd w:id="5"/>
    </w:p>
    <w:p>
      <w:pPr>
        <w:tabs>
          <w:tab w:val="left" w:pos="0"/>
        </w:tabs>
        <w:spacing w:line="360" w:lineRule="auto"/>
        <w:rPr>
          <w:b/>
          <w:kern w:val="0"/>
          <w:szCs w:val="21"/>
        </w:rPr>
      </w:pPr>
      <w:bookmarkStart w:id="6" w:name="_Toc286219565"/>
      <w:bookmarkStart w:id="7" w:name="_Toc286218919"/>
      <w:bookmarkStart w:id="8" w:name="_Toc286219139"/>
      <w:r>
        <w:rPr>
          <w:rFonts w:hint="eastAsia"/>
          <w:b/>
          <w:kern w:val="0"/>
          <w:szCs w:val="21"/>
        </w:rPr>
        <w:t>一、专业</w:t>
      </w:r>
      <w:bookmarkEnd w:id="6"/>
      <w:bookmarkEnd w:id="7"/>
      <w:bookmarkEnd w:id="8"/>
      <w:r>
        <w:rPr>
          <w:rFonts w:hint="eastAsia"/>
          <w:b/>
          <w:kern w:val="0"/>
          <w:szCs w:val="21"/>
        </w:rPr>
        <w:t>基本信息</w:t>
      </w:r>
      <w:r>
        <w:rPr>
          <w:rFonts w:hint="eastAsia" w:ascii="宋体" w:hAnsi="宋体"/>
          <w:vanish/>
          <w:kern w:val="0"/>
          <w:szCs w:val="21"/>
        </w:rPr>
        <w:t>（2012）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专业代码：</w:t>
      </w:r>
      <w:r>
        <w:rPr>
          <w:kern w:val="0"/>
          <w:szCs w:val="21"/>
        </w:rPr>
        <w:t>080</w:t>
      </w:r>
      <w:r>
        <w:rPr>
          <w:rFonts w:hint="eastAsia"/>
          <w:kern w:val="0"/>
          <w:szCs w:val="21"/>
        </w:rPr>
        <w:t>717T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专业名称（中）：人工智能 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专业名称（英）：</w:t>
      </w:r>
      <w:r>
        <w:rPr>
          <w:i/>
          <w:color w:val="0000FF"/>
          <w:kern w:val="0"/>
          <w:szCs w:val="21"/>
        </w:rPr>
        <w:t xml:space="preserve"> </w:t>
      </w:r>
      <w:r>
        <w:rPr>
          <w:rFonts w:hint="eastAsia"/>
          <w:iCs/>
          <w:kern w:val="0"/>
          <w:szCs w:val="21"/>
        </w:rPr>
        <w:t>A</w:t>
      </w:r>
      <w:r>
        <w:rPr>
          <w:rFonts w:hint="eastAsia"/>
          <w:kern w:val="0"/>
          <w:szCs w:val="21"/>
        </w:rPr>
        <w:t>rtificial Intelligence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修业年限：标准学制为4年，实行3-6年弹性学制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授予学位：</w:t>
      </w:r>
      <w:r>
        <w:rPr>
          <w:kern w:val="0"/>
          <w:szCs w:val="21"/>
        </w:rPr>
        <w:t>工学学士</w:t>
      </w:r>
    </w:p>
    <w:p>
      <w:pPr>
        <w:tabs>
          <w:tab w:val="left" w:pos="0"/>
        </w:tabs>
        <w:spacing w:line="400" w:lineRule="exact"/>
        <w:ind w:firstLine="420" w:firstLineChars="200"/>
        <w:rPr>
          <w:i/>
          <w:color w:val="0000FF"/>
          <w:kern w:val="0"/>
          <w:szCs w:val="21"/>
        </w:rPr>
      </w:pPr>
      <w:r>
        <w:rPr>
          <w:rFonts w:hint="eastAsia"/>
          <w:kern w:val="0"/>
          <w:szCs w:val="21"/>
        </w:rPr>
        <w:t>专业优势与特色：（1）有较好的学科基础。专业依托学科为“计算机科学与技术”一级学科，该学科是四川省首批重点学科，在2016年教育部的学科评估中获得“C+”，在四川省省属高校中排名第一。（2）本学院已有的图形图像、高性能计算、计算智能、网络信息及其安全等研究方向研究基础深厚，可为人工智能专业的开设构建新的人才培养高地。</w:t>
      </w:r>
    </w:p>
    <w:p>
      <w:pPr>
        <w:spacing w:before="156" w:beforeLines="50" w:line="360" w:lineRule="auto"/>
        <w:rPr>
          <w:b/>
          <w:kern w:val="0"/>
        </w:rPr>
      </w:pPr>
      <w:r>
        <w:rPr>
          <w:rFonts w:hAnsi="宋体"/>
          <w:b/>
          <w:kern w:val="0"/>
        </w:rPr>
        <w:t>二、培养目标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围绕人工智能专业的具体内涵，培养人文素质、工程知识、业务能力协调发展，面向四川省新一代信息技术产业、面向智能气象行业，掌握跨学科的自然科学基础知识，具有扎实的计算机科学基础和人工智能专业基础，具有丰富的动手实践能力，满足地方、行业与社会的智能化建设与发展需求的高素质、复合型应用工程技术人才，使其能从事智能系统、智能信息处理、智能行为决策、智能产品等方面的科学研究、开发设计、工程应用、决策管理和教学等工作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预期学生毕业5年左右能达到下列目标：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1. 具备宽厚的数理与工程基础知识，能很好地运用人工智能专业知识与技术，具有较强的专业技能与实践能力。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2. 能综合运用专业知识与技能，能从事工程项目构思、设计、实现、运行及管理，能考虑法律、环境、安全、经济、可持续发展等因素，较好地解决人工智能技术领域及其交叉领域的复杂工程问题。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3. 具有良好的人文科学素养，良好的职业道德和职业素质，较强的社会责任感和家国情怀，能积极服务国家与社会。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4. 具有较好的个人沟通、协调与人际交往能力。具有多学科背景下或跨学科领域的团队合作与交流能力，能与同事、客户、公众以及国内外同行进行有效沟通与协作。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5. 具备终身学习能力。有一定的国际视野，具有创新意识与创新能力，拥有可持续发展能力，能够适应未来社会的变化和竞争。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</w:p>
    <w:p>
      <w:pPr/>
    </w:p>
    <w:p>
      <w:pPr/>
    </w:p>
    <w:p>
      <w:pPr/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</w:p>
    <w:p>
      <w:pPr>
        <w:spacing w:before="156" w:beforeLines="50" w:line="360" w:lineRule="auto"/>
        <w:rPr>
          <w:rFonts w:hAnsi="宋体"/>
          <w:b/>
          <w:color w:val="000000"/>
          <w:kern w:val="0"/>
        </w:rPr>
      </w:pPr>
      <w:r>
        <w:rPr>
          <w:rFonts w:hAnsi="宋体"/>
          <w:b/>
          <w:color w:val="000000"/>
          <w:kern w:val="0"/>
        </w:rPr>
        <w:t>三、</w:t>
      </w:r>
      <w:r>
        <w:rPr>
          <w:rFonts w:hint="eastAsia" w:hAnsi="宋体"/>
          <w:b/>
          <w:color w:val="000000"/>
          <w:kern w:val="0"/>
        </w:rPr>
        <w:t>毕业要求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1. 工程知识：能够将数学、自然科学、工程基础和专业知识用于解决复杂工程问题。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2. 问题分析：能够应用数学、自然科学和工程科学基本原理，识别、表达、并通过文献研究分析复杂工程问题，以获得有效结论。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3. 设计/开发解决方案：能够设计针对复杂工程问题解决方案，设计满足特定需求系统、单元（部件）或工艺流程，并能够在设计环节中体现创新意识，考虑社会、健康、安全、法律、文化以及环境因素。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4. 研究：能够基于科学原理并采用科学方法对复杂工程问题进行研究，包括设计实验、分析与解释数据、并通过信息综合得到合理有效的结论。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5. 使用现代工具：能够针对复杂工程问题，开发、选择与使用恰当技术、资源、现代工程工具和信息技术工具，包括对复杂工程问题预测与模拟，并能够理解其局限性。 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6. 工程与社会：能够基于工程相关背景知识进行合理分析，评价专业工程实践和复杂工程问题解决方案对社会、健康、安全、法律以及文化的影响，并理解应承担责任。 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7. 环境和可持续发展：能够理解和评价针对复杂工程问题的工程实践对环境、社会可持续发展的影响。 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8. 职业规范：具有人文社会科学素养、社会责任感，能够在工程实践中理解并遵守工程职业道德规范，履行责任。 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9. 个人和团队：能够在多学科背景下团队中承担个体、团队成员以及负责人的角色。 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10. 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</w:p>
    <w:p>
      <w:pPr>
        <w:tabs>
          <w:tab w:val="left" w:pos="0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11. 项目管理：理解并掌握工程管理原理与经济决策方法，并能在多学科环境中应用。</w:t>
      </w:r>
    </w:p>
    <w:p>
      <w:pPr>
        <w:tabs>
          <w:tab w:val="left" w:pos="0"/>
        </w:tabs>
        <w:spacing w:line="400" w:lineRule="exact"/>
        <w:ind w:firstLine="420" w:firstLineChars="200"/>
        <w:rPr>
          <w:rFonts w:eastAsia="仿宋"/>
          <w:b/>
          <w:sz w:val="24"/>
        </w:rPr>
      </w:pPr>
      <w:r>
        <w:rPr>
          <w:rFonts w:hint="eastAsia"/>
          <w:kern w:val="0"/>
          <w:szCs w:val="21"/>
        </w:rPr>
        <w:t>12. 终身学习：具有自主学习和终身学习意识，有不断学习和适应发展的能力。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rFonts w:hAnsi="宋体"/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i/>
          <w:color w:val="0000FF"/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i/>
          <w:color w:val="0000FF"/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i/>
          <w:color w:val="0000FF"/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i/>
          <w:color w:val="0000FF"/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i/>
          <w:color w:val="0000FF"/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kern w:val="0"/>
          <w:szCs w:val="21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kern w:val="0"/>
          <w:szCs w:val="21"/>
        </w:rPr>
      </w:pPr>
      <w:bookmarkStart w:id="9" w:name="_GoBack"/>
      <w:bookmarkEnd w:id="9"/>
    </w:p>
    <w:p>
      <w:pPr>
        <w:spacing w:before="156" w:beforeLines="50" w:line="360" w:lineRule="auto"/>
        <w:rPr>
          <w:i/>
          <w:color w:val="0000FF"/>
          <w:kern w:val="0"/>
          <w:szCs w:val="21"/>
        </w:rPr>
      </w:pPr>
      <w:r>
        <w:rPr>
          <w:rFonts w:hint="eastAsia" w:hAnsi="宋体"/>
          <w:b/>
          <w:kern w:val="0"/>
        </w:rPr>
        <w:t>四、课程体系构成及毕业学分最低要求</w:t>
      </w:r>
    </w:p>
    <w:tbl>
      <w:tblPr>
        <w:tblStyle w:val="20"/>
        <w:tblW w:w="84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1029"/>
        <w:gridCol w:w="2219"/>
        <w:gridCol w:w="1249"/>
        <w:gridCol w:w="897"/>
        <w:gridCol w:w="12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课程类型</w:t>
            </w:r>
          </w:p>
        </w:tc>
        <w:tc>
          <w:tcPr>
            <w:tcW w:w="32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课程模块</w:t>
            </w:r>
          </w:p>
        </w:tc>
        <w:tc>
          <w:tcPr>
            <w:tcW w:w="12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修课门数（门）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最低毕业学分要求</w:t>
            </w:r>
          </w:p>
        </w:tc>
      </w:tr>
      <w:tr>
        <w:tblPrEx>
          <w:tblLayout w:type="fixed"/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32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学分比例*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通识教育课程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（71.5）</w:t>
            </w:r>
          </w:p>
        </w:tc>
        <w:tc>
          <w:tcPr>
            <w:tcW w:w="10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必修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（64.5）</w:t>
            </w: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思想政治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9.7%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外语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7.3%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数理基础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23.5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14.3%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军事体育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4.3%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创新创业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1.2%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2.4%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选修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（7）</w:t>
            </w: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历史与文化</w:t>
            </w:r>
          </w:p>
        </w:tc>
        <w:tc>
          <w:tcPr>
            <w:tcW w:w="124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Cs w:val="21"/>
              </w:rPr>
            </w:pPr>
            <w:r>
              <w:rPr>
                <w:rFonts w:hint="eastAsia" w:cs="宋体"/>
                <w:color w:val="auto"/>
                <w:kern w:val="0"/>
                <w:szCs w:val="21"/>
              </w:rPr>
              <w:t>4</w:t>
            </w:r>
            <w:r>
              <w:rPr>
                <w:rFonts w:cs="宋体"/>
                <w:color w:val="auto"/>
                <w:kern w:val="0"/>
                <w:szCs w:val="21"/>
              </w:rPr>
              <w:t>.3</w:t>
            </w:r>
            <w:r>
              <w:rPr>
                <w:rFonts w:hint="eastAsia" w:cs="宋体"/>
                <w:color w:val="auto"/>
                <w:kern w:val="0"/>
                <w:szCs w:val="21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社会科学与法律</w:t>
            </w:r>
          </w:p>
        </w:tc>
        <w:tc>
          <w:tcPr>
            <w:tcW w:w="12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创新创业教育</w:t>
            </w:r>
          </w:p>
        </w:tc>
        <w:tc>
          <w:tcPr>
            <w:tcW w:w="12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哲学与自然科学</w:t>
            </w:r>
          </w:p>
        </w:tc>
        <w:tc>
          <w:tcPr>
            <w:tcW w:w="12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工程与管理</w:t>
            </w:r>
          </w:p>
        </w:tc>
        <w:tc>
          <w:tcPr>
            <w:tcW w:w="12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艺术与审美</w:t>
            </w:r>
          </w:p>
        </w:tc>
        <w:tc>
          <w:tcPr>
            <w:tcW w:w="124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auto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科研（能力进阶）训练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</w:t>
            </w:r>
            <w:r>
              <w:rPr>
                <w:color w:val="000000"/>
                <w:kern w:val="0"/>
                <w:szCs w:val="21"/>
              </w:rPr>
              <w:t>~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auto"/>
                <w:kern w:val="0"/>
                <w:szCs w:val="21"/>
              </w:rPr>
            </w:pPr>
            <w:r>
              <w:rPr>
                <w:rFonts w:hint="eastAsia" w:cs="宋体"/>
                <w:color w:val="auto"/>
                <w:kern w:val="0"/>
                <w:szCs w:val="21"/>
              </w:rPr>
              <w:t>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学科基础类课程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（45）</w:t>
            </w:r>
          </w:p>
        </w:tc>
        <w:tc>
          <w:tcPr>
            <w:tcW w:w="10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必修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（45）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w w:val="95"/>
                <w:kern w:val="0"/>
                <w:szCs w:val="21"/>
                <w:fitText w:val="2000" w:id="0"/>
              </w:rPr>
              <w:t>校级学科基础平台课</w:t>
            </w:r>
            <w:r>
              <w:rPr>
                <w:rFonts w:hint="eastAsia" w:cs="宋体"/>
                <w:spacing w:val="7"/>
                <w:w w:val="95"/>
                <w:kern w:val="0"/>
                <w:szCs w:val="21"/>
                <w:fitText w:val="2000" w:id="0"/>
              </w:rPr>
              <w:t>程</w:t>
            </w:r>
          </w:p>
        </w:tc>
        <w:tc>
          <w:tcPr>
            <w:tcW w:w="124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28.5</w:t>
            </w:r>
          </w:p>
        </w:tc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1</w:t>
            </w:r>
            <w:r>
              <w:rPr>
                <w:rFonts w:hint="eastAsia"/>
              </w:rPr>
              <w:t>7</w:t>
            </w:r>
            <w:r>
              <w:t>.3%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w w:val="90"/>
                <w:kern w:val="0"/>
                <w:szCs w:val="21"/>
              </w:rPr>
            </w:pPr>
            <w:r>
              <w:rPr>
                <w:rFonts w:hint="eastAsia" w:cs="宋体"/>
                <w:spacing w:val="1"/>
                <w:w w:val="95"/>
                <w:kern w:val="0"/>
                <w:szCs w:val="21"/>
                <w:fitText w:val="2001" w:id="1"/>
              </w:rPr>
              <w:t>院级专业基础平台课</w:t>
            </w:r>
            <w:r>
              <w:rPr>
                <w:rFonts w:hint="eastAsia" w:cs="宋体"/>
                <w:spacing w:val="-1"/>
                <w:w w:val="95"/>
                <w:kern w:val="0"/>
                <w:szCs w:val="21"/>
                <w:fitText w:val="2001" w:id="1"/>
              </w:rPr>
              <w:t>程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5.2%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专业基础课程</w:t>
            </w:r>
          </w:p>
        </w:tc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.8%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选修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（0）</w:t>
            </w: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89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专业课程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（48.5）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22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专业方向必修</w:t>
            </w:r>
          </w:p>
        </w:tc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89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38.5</w:t>
            </w:r>
          </w:p>
        </w:tc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  <w:r>
              <w:t>.3%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专业方向选修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89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2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</w:pPr>
            <w:r>
              <w:t>4.8%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个性化自主学习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1.2%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1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100.0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%</w:t>
            </w:r>
          </w:p>
        </w:tc>
      </w:tr>
    </w:tbl>
    <w:p>
      <w:pPr>
        <w:spacing w:before="156" w:beforeLines="50"/>
        <w:rPr>
          <w:sz w:val="18"/>
          <w:szCs w:val="18"/>
        </w:rPr>
      </w:pPr>
      <w:r>
        <w:rPr>
          <w:rFonts w:hint="eastAsia"/>
          <w:sz w:val="18"/>
          <w:szCs w:val="18"/>
        </w:rPr>
        <w:t>*注：1. 修课门数：选修课门数可不填。</w:t>
      </w:r>
    </w:p>
    <w:p>
      <w:pPr>
        <w:ind w:firstLine="450" w:firstLineChars="250"/>
        <w:rPr>
          <w:sz w:val="18"/>
          <w:szCs w:val="18"/>
        </w:rPr>
      </w:pPr>
      <w:r>
        <w:rPr>
          <w:rFonts w:hint="eastAsia"/>
          <w:sz w:val="18"/>
          <w:szCs w:val="18"/>
        </w:rPr>
        <w:t>2. 学分比例计算说明：各项学分/毕业要求总学分*100%，选修课按照毕业最低要求选修学分计算比例。</w:t>
      </w:r>
    </w:p>
    <w:p>
      <w:pPr>
        <w:spacing w:before="156" w:beforeLines="50" w:line="360" w:lineRule="auto"/>
        <w:rPr>
          <w:b/>
        </w:rPr>
      </w:pPr>
      <w:r>
        <w:rPr>
          <w:rFonts w:hint="eastAsia"/>
          <w:b/>
        </w:rPr>
        <w:t xml:space="preserve">主要专业核心课程： </w:t>
      </w:r>
    </w:p>
    <w:p>
      <w:pPr>
        <w:spacing w:line="360" w:lineRule="auto"/>
        <w:ind w:firstLine="420" w:firstLineChars="200"/>
        <w:rPr>
          <w:color w:val="FF0000"/>
          <w:szCs w:val="21"/>
        </w:rPr>
      </w:pPr>
      <w:r>
        <w:rPr>
          <w:rFonts w:hint="eastAsia"/>
        </w:rPr>
        <w:t>C语言程序设计、数据结构、操作系统原理、数据库原理及应用、计算机网络、面向对象程序设计、人工智能导论、机器学习、脑与认知科学导论、数据统计与分析。</w:t>
      </w:r>
    </w:p>
    <w:p>
      <w:pPr>
        <w:spacing w:before="156" w:beforeLines="50" w:line="360" w:lineRule="auto"/>
        <w:rPr>
          <w:rFonts w:hAnsi="宋体"/>
          <w:b/>
        </w:rPr>
      </w:pPr>
      <w:r>
        <w:rPr>
          <w:rFonts w:hint="eastAsia" w:hAnsi="宋体"/>
          <w:b/>
        </w:rPr>
        <w:t>五</w:t>
      </w:r>
      <w:r>
        <w:rPr>
          <w:rFonts w:hAnsi="宋体"/>
          <w:b/>
        </w:rPr>
        <w:t>、实践教学</w:t>
      </w:r>
    </w:p>
    <w:p>
      <w:pPr>
        <w:spacing w:before="156" w:beforeLines="50"/>
        <w:rPr>
          <w:rFonts w:hAnsi="宋体"/>
          <w:b/>
        </w:rPr>
      </w:pPr>
      <w:r>
        <w:rPr>
          <w:rFonts w:hint="eastAsia" w:hAnsi="宋体"/>
          <w:b/>
        </w:rPr>
        <w:t>1、实践教学环节</w:t>
      </w:r>
    </w:p>
    <w:p>
      <w:pPr>
        <w:spacing w:line="360" w:lineRule="auto"/>
        <w:ind w:firstLine="420" w:firstLineChars="200"/>
      </w:pPr>
      <w:r>
        <w:rPr>
          <w:rFonts w:hint="eastAsia"/>
        </w:rPr>
        <w:t>实验课程：</w:t>
      </w:r>
      <w:r>
        <w:t xml:space="preserve"> C</w:t>
      </w:r>
      <w:r>
        <w:rPr>
          <w:rFonts w:hint="eastAsia"/>
        </w:rPr>
        <w:t>语言程序设计、面向对象程序设计（Java）、数据结构、计算机组成原理、数据库原理及应用、计算机网络、脑与认知科学导论、人工智能导论、计算机图形学、计算机视觉、大数据应用基础、数据挖掘与应用、电子设计实践基础、机器学习、并行程序设计等课程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实习实训课程：大数据应用实践项目、数据挖掘实践项目、人工智能综合实践项目、并行计算综合实践项目、J2EE软件管理综合项目、毕业实习、工程实践1</w:t>
      </w:r>
      <w:r>
        <w:t>-3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  <w:jc w:val="center"/>
      </w:pPr>
      <w:r>
        <w:rPr>
          <w:rFonts w:hint="eastAsia"/>
        </w:rPr>
        <w:t>教学实践环节统计表</w:t>
      </w:r>
    </w:p>
    <w:tbl>
      <w:tblPr>
        <w:tblStyle w:val="20"/>
        <w:tblW w:w="87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034"/>
        <w:gridCol w:w="1559"/>
        <w:gridCol w:w="1004"/>
        <w:gridCol w:w="1557"/>
        <w:gridCol w:w="2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627" w:type="dxa"/>
            <w:gridSpan w:val="3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学时*</w:t>
            </w:r>
          </w:p>
        </w:tc>
        <w:tc>
          <w:tcPr>
            <w:tcW w:w="1557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学时</w:t>
            </w:r>
            <w:r>
              <w:rPr>
                <w:b/>
                <w:bCs/>
                <w:kern w:val="0"/>
                <w:sz w:val="18"/>
                <w:szCs w:val="18"/>
              </w:rPr>
              <w:t>比例</w:t>
            </w: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*</w:t>
            </w:r>
          </w:p>
        </w:tc>
        <w:tc>
          <w:tcPr>
            <w:tcW w:w="2589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034" w:type="dxa"/>
            <w:vMerge w:val="restart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实验课程</w:t>
            </w:r>
          </w:p>
        </w:tc>
        <w:tc>
          <w:tcPr>
            <w:tcW w:w="2593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课内实验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338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12.8%</w:t>
            </w:r>
          </w:p>
        </w:tc>
        <w:tc>
          <w:tcPr>
            <w:tcW w:w="2589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综合实践环节不纳入此统计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034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93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独立设置实验课程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258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34" w:type="dxa"/>
            <w:vMerge w:val="restart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实习</w:t>
            </w:r>
            <w:r>
              <w:rPr>
                <w:kern w:val="0"/>
                <w:sz w:val="18"/>
                <w:szCs w:val="18"/>
              </w:rPr>
              <w:t>实训</w:t>
            </w:r>
          </w:p>
        </w:tc>
        <w:tc>
          <w:tcPr>
            <w:tcW w:w="2593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课内实习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2589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综合实践环节不纳入此统计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34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restart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独立设置实习课程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企业实训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1.2%</w:t>
            </w:r>
          </w:p>
        </w:tc>
        <w:tc>
          <w:tcPr>
            <w:tcW w:w="258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34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%</w:t>
            </w:r>
          </w:p>
        </w:tc>
        <w:tc>
          <w:tcPr>
            <w:tcW w:w="258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34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</w:t>
            </w:r>
            <w:r>
              <w:rPr>
                <w:rFonts w:hint="eastAsia"/>
                <w:kern w:val="0"/>
                <w:sz w:val="18"/>
                <w:szCs w:val="18"/>
              </w:rPr>
              <w:t>实习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2.4%</w:t>
            </w:r>
          </w:p>
        </w:tc>
        <w:tc>
          <w:tcPr>
            <w:tcW w:w="258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34" w:type="dxa"/>
            <w:vMerge w:val="restart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综合实践</w:t>
            </w:r>
          </w:p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环节</w:t>
            </w:r>
          </w:p>
        </w:tc>
        <w:tc>
          <w:tcPr>
            <w:tcW w:w="2593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工程实践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3.6%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34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93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综合性课程设计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2.4%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627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科研训练（能力进阶训练）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1.2%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627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</w:t>
            </w:r>
            <w:r>
              <w:rPr>
                <w:rFonts w:hint="eastAsia"/>
                <w:kern w:val="0"/>
                <w:sz w:val="18"/>
                <w:szCs w:val="18"/>
              </w:rPr>
              <w:t>设计（论文）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224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8.5%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627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创新创业实践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3.6%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627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946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35.8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ind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*注：1. 周数的学时按：周数乘以16学时计。选修课的学时按可开出的最高实践学时估算。</w:t>
      </w:r>
    </w:p>
    <w:p>
      <w:pPr>
        <w:ind w:firstLine="810" w:firstLineChars="450"/>
        <w:rPr>
          <w:sz w:val="18"/>
          <w:szCs w:val="18"/>
        </w:rPr>
      </w:pPr>
      <w:r>
        <w:rPr>
          <w:rFonts w:hint="eastAsia"/>
          <w:sz w:val="18"/>
          <w:szCs w:val="18"/>
        </w:rPr>
        <w:t>2. 比例计算说明：各项实践环节的学时/所有课程总学时*100%。</w:t>
      </w:r>
    </w:p>
    <w:p>
      <w:pPr>
        <w:spacing w:before="156" w:beforeLines="50" w:line="360" w:lineRule="auto"/>
        <w:rPr>
          <w:b/>
        </w:rPr>
      </w:pPr>
      <w:r>
        <w:rPr>
          <w:rFonts w:hint="eastAsia"/>
          <w:b/>
        </w:rPr>
        <w:t>2</w:t>
      </w:r>
      <w:r>
        <w:rPr>
          <w:rFonts w:hAnsi="宋体"/>
          <w:b/>
        </w:rPr>
        <w:t>、创新</w:t>
      </w:r>
      <w:r>
        <w:rPr>
          <w:rFonts w:hint="eastAsia" w:hAnsi="宋体"/>
          <w:b/>
        </w:rPr>
        <w:t>创业实践环节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学生在本科学习期间须完成6个创新创业教育环节的学分，</w:t>
      </w:r>
      <w:r>
        <w:rPr>
          <w:rFonts w:hint="eastAsia"/>
          <w:kern w:val="0"/>
          <w:szCs w:val="21"/>
        </w:rPr>
        <w:t>其中包括大学生创新基础相关课程2个学分，</w:t>
      </w:r>
      <w:r>
        <w:rPr>
          <w:kern w:val="0"/>
          <w:szCs w:val="21"/>
        </w:rPr>
        <w:t>创新创业实践环节</w:t>
      </w:r>
      <w:r>
        <w:rPr>
          <w:rFonts w:hint="eastAsia"/>
          <w:kern w:val="0"/>
          <w:szCs w:val="21"/>
        </w:rPr>
        <w:t>4个</w:t>
      </w:r>
      <w:r>
        <w:rPr>
          <w:kern w:val="0"/>
          <w:szCs w:val="21"/>
        </w:rPr>
        <w:t>学分</w:t>
      </w:r>
      <w:r>
        <w:rPr>
          <w:rFonts w:hint="eastAsia"/>
          <w:kern w:val="0"/>
          <w:szCs w:val="21"/>
        </w:rPr>
        <w:t>。除成都信息工程大学本科学生创新创业学分说明中所列</w:t>
      </w:r>
      <w:r>
        <w:rPr>
          <w:rFonts w:hint="eastAsia"/>
          <w:szCs w:val="21"/>
        </w:rPr>
        <w:t>项目外，学生还可通过下表所列项目获得</w:t>
      </w:r>
      <w:r>
        <w:rPr>
          <w:kern w:val="0"/>
          <w:szCs w:val="21"/>
        </w:rPr>
        <w:t>创新创业实践环节</w:t>
      </w:r>
      <w:r>
        <w:rPr>
          <w:rFonts w:hint="eastAsia"/>
          <w:kern w:val="0"/>
          <w:szCs w:val="21"/>
        </w:rPr>
        <w:t>的</w:t>
      </w:r>
      <w:r>
        <w:rPr>
          <w:rFonts w:hint="eastAsia"/>
          <w:szCs w:val="21"/>
        </w:rPr>
        <w:t>学分：</w:t>
      </w:r>
    </w:p>
    <w:tbl>
      <w:tblPr>
        <w:tblStyle w:val="20"/>
        <w:tblW w:w="79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18"/>
        <w:gridCol w:w="1108"/>
        <w:gridCol w:w="1952"/>
        <w:gridCol w:w="758"/>
        <w:gridCol w:w="1727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 w:hRule="atLeast"/>
          <w:tblHeader/>
          <w:jc w:val="center"/>
        </w:trPr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分项名称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细则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1727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提交材料</w:t>
            </w:r>
          </w:p>
        </w:tc>
        <w:tc>
          <w:tcPr>
            <w:tcW w:w="1106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创新实践</w:t>
            </w:r>
          </w:p>
          <w:p>
            <w:pPr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vMerge w:val="restart"/>
            <w:vAlign w:val="center"/>
          </w:tcPr>
          <w:p>
            <w:pPr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实践与训练</w:t>
            </w:r>
          </w:p>
          <w:p>
            <w:pPr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Align w:val="center"/>
          </w:tcPr>
          <w:p>
            <w:pPr>
              <w:spacing w:line="0" w:lineRule="atLeas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科技竞赛</w:t>
            </w:r>
          </w:p>
        </w:tc>
        <w:tc>
          <w:tcPr>
            <w:tcW w:w="1952" w:type="dxa"/>
            <w:vAlign w:val="center"/>
          </w:tcPr>
          <w:p>
            <w:pPr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  <w:tc>
          <w:tcPr>
            <w:tcW w:w="758" w:type="dxa"/>
            <w:vAlign w:val="center"/>
          </w:tcPr>
          <w:p>
            <w:pPr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0.25-4</w:t>
            </w:r>
          </w:p>
        </w:tc>
        <w:tc>
          <w:tcPr>
            <w:tcW w:w="1727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  <w:tc>
          <w:tcPr>
            <w:tcW w:w="1106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spacing w:line="0" w:lineRule="atLeas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参加教师科研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0.25-2</w:t>
            </w:r>
          </w:p>
        </w:tc>
        <w:tc>
          <w:tcPr>
            <w:tcW w:w="1727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  <w:tc>
          <w:tcPr>
            <w:tcW w:w="110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spacing w:line="0" w:lineRule="atLeas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项目开发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0.25-2</w:t>
            </w:r>
          </w:p>
        </w:tc>
        <w:tc>
          <w:tcPr>
            <w:tcW w:w="1727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  <w:tc>
          <w:tcPr>
            <w:tcW w:w="1106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实践成果</w:t>
            </w:r>
          </w:p>
        </w:tc>
        <w:tc>
          <w:tcPr>
            <w:tcW w:w="718" w:type="dxa"/>
            <w:vMerge w:val="restart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科技成果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spacing w:line="0" w:lineRule="atLeast"/>
              <w:jc w:val="left"/>
              <w:rPr>
                <w:kern w:val="0"/>
                <w:sz w:val="18"/>
                <w:szCs w:val="18"/>
              </w:rPr>
            </w:pPr>
            <w:r>
              <w:t>发表论文</w:t>
            </w:r>
          </w:p>
        </w:tc>
        <w:tc>
          <w:tcPr>
            <w:tcW w:w="1952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t>2-4</w:t>
            </w:r>
          </w:p>
        </w:tc>
        <w:tc>
          <w:tcPr>
            <w:tcW w:w="1727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  <w:tc>
          <w:tcPr>
            <w:tcW w:w="1106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Align w:val="center"/>
          </w:tcPr>
          <w:p>
            <w:pPr>
              <w:spacing w:line="0" w:lineRule="atLeast"/>
              <w:jc w:val="left"/>
              <w:rPr>
                <w:bCs/>
                <w:kern w:val="0"/>
                <w:sz w:val="18"/>
                <w:szCs w:val="18"/>
              </w:rPr>
            </w:pPr>
            <w:r>
              <w:t>申报科技成果</w:t>
            </w:r>
          </w:p>
        </w:tc>
        <w:tc>
          <w:tcPr>
            <w:tcW w:w="1952" w:type="dxa"/>
            <w:vAlign w:val="center"/>
          </w:tcPr>
          <w:p>
            <w:pPr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  <w:tc>
          <w:tcPr>
            <w:tcW w:w="758" w:type="dxa"/>
            <w:vAlign w:val="center"/>
          </w:tcPr>
          <w:p>
            <w:pPr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t>1-4</w:t>
            </w:r>
          </w:p>
        </w:tc>
        <w:tc>
          <w:tcPr>
            <w:tcW w:w="1727" w:type="dxa"/>
            <w:vAlign w:val="center"/>
          </w:tcPr>
          <w:p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  <w:tc>
          <w:tcPr>
            <w:tcW w:w="1106" w:type="dxa"/>
            <w:vAlign w:val="center"/>
          </w:tcPr>
          <w:p>
            <w:pPr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567" w:type="dxa"/>
            <w:vAlign w:val="center"/>
          </w:tcPr>
          <w:p>
            <w:pPr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其他类</w:t>
            </w:r>
          </w:p>
        </w:tc>
        <w:tc>
          <w:tcPr>
            <w:tcW w:w="7369" w:type="dxa"/>
            <w:gridSpan w:val="6"/>
            <w:vAlign w:val="center"/>
          </w:tcPr>
          <w:p>
            <w:pPr>
              <w:widowControl/>
              <w:spacing w:line="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参见计算机学院创新创业相应文件</w:t>
            </w:r>
          </w:p>
        </w:tc>
      </w:tr>
    </w:tbl>
    <w:p>
      <w:pPr>
        <w:spacing w:before="156" w:beforeLines="50" w:line="360" w:lineRule="auto"/>
        <w:rPr>
          <w:rFonts w:hAnsi="宋体"/>
          <w:b/>
        </w:rPr>
      </w:pPr>
    </w:p>
    <w:p>
      <w:pPr>
        <w:spacing w:before="156" w:beforeLines="50" w:line="360" w:lineRule="auto"/>
        <w:rPr>
          <w:rFonts w:hAnsi="宋体"/>
          <w:b/>
        </w:rPr>
        <w:sectPr>
          <w:footerReference r:id="rId3" w:type="default"/>
          <w:footerReference r:id="rId4" w:type="even"/>
          <w:pgSz w:w="11906" w:h="16838"/>
          <w:pgMar w:top="1440" w:right="1080" w:bottom="1440" w:left="1080" w:header="851" w:footer="992" w:gutter="0"/>
          <w:pgNumType w:start="0"/>
          <w:cols w:space="720" w:num="1"/>
          <w:titlePg/>
          <w:docGrid w:type="linesAndChars" w:linePitch="312" w:charSpace="0"/>
        </w:sectPr>
      </w:pPr>
    </w:p>
    <w:p>
      <w:pPr>
        <w:spacing w:before="156" w:beforeLines="50" w:line="360" w:lineRule="auto"/>
        <w:rPr>
          <w:rFonts w:hAnsi="宋体"/>
          <w:b/>
        </w:rPr>
      </w:pPr>
      <w:r>
        <w:rPr>
          <w:rFonts w:hint="eastAsia" w:hAnsi="宋体"/>
          <w:b/>
        </w:rPr>
        <w:t>六</w:t>
      </w:r>
      <w:r>
        <w:rPr>
          <w:rFonts w:hAnsi="宋体"/>
          <w:b/>
        </w:rPr>
        <w:t>、课程设置与教学进程</w:t>
      </w:r>
      <w:r>
        <w:rPr>
          <w:rFonts w:hint="eastAsia" w:hAnsi="宋体"/>
          <w:b/>
        </w:rPr>
        <w:t>计划表</w:t>
      </w:r>
    </w:p>
    <w:tbl>
      <w:tblPr>
        <w:tblStyle w:val="20"/>
        <w:tblW w:w="13340" w:type="dxa"/>
        <w:tblInd w:w="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500"/>
        <w:gridCol w:w="480"/>
        <w:gridCol w:w="3420"/>
        <w:gridCol w:w="2660"/>
        <w:gridCol w:w="600"/>
        <w:gridCol w:w="560"/>
        <w:gridCol w:w="600"/>
        <w:gridCol w:w="560"/>
        <w:gridCol w:w="640"/>
        <w:gridCol w:w="640"/>
        <w:gridCol w:w="640"/>
        <w:gridCol w:w="640"/>
        <w:gridCol w:w="9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2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3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课程中文名称</w:t>
            </w:r>
          </w:p>
        </w:tc>
        <w:tc>
          <w:tcPr>
            <w:tcW w:w="2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课程英文名称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25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执行学期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4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讲授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18"/>
                <w:szCs w:val="18"/>
              </w:rPr>
              <w:t>上机</w:t>
            </w: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通识教育课程</w:t>
            </w:r>
          </w:p>
        </w:tc>
        <w:tc>
          <w:tcPr>
            <w:tcW w:w="5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思想政治类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Thought morals tutelage and legal foundation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Outline of Chinese Modern History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Basic Principles of Marxism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毛泽东思想和中国特色社会主义理论体系概论1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Introduction to Mao Zedong Thought and Theory of Socialism With Chinese Characteristics 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毛泽东思想和中国特色社会主义理论体系概论2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Introduction to Mao Zedong Thought and Theory of Socialism With Chinese Characteristics  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形势与政策1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Situation &amp; Policy 1</w:t>
            </w:r>
          </w:p>
        </w:tc>
        <w:tc>
          <w:tcPr>
            <w:tcW w:w="6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形势与政策2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Situation &amp; Policy 2</w:t>
            </w: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形势与政策3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Situation &amp; Policy 3</w:t>
            </w: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形势与政策4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Situation &amp; Policy 4</w:t>
            </w: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24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外语类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College English 1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College English 2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College English 3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4A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College English 4A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24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军事体育类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军事理论及训练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Military Theory and Training 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周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体育</w:t>
            </w:r>
            <w:r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Physical Education 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体育</w:t>
            </w:r>
            <w:r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Physical Education 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体育</w:t>
            </w:r>
            <w:r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Physical Education 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体育</w:t>
            </w:r>
            <w:r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Physical Education 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体育</w:t>
            </w:r>
            <w:r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Physical Education 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俱乐部制</w:t>
            </w: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体育</w:t>
            </w:r>
            <w:r>
              <w:rPr>
                <w:kern w:val="0"/>
                <w:sz w:val="20"/>
                <w:szCs w:val="20"/>
              </w:rPr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Physical Education 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vAlign w:val="center"/>
          </w:tcPr>
          <w:p>
            <w:pPr>
              <w:widowControl/>
              <w:jc w:val="righ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24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数理基础类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高等数学1C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Advanced  Mathematics 1C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高等数学2C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Advanced  Mathematics 2C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线性代数C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Linear  Algebra  C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概率论与数理统计C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Probability Theory and Mathematical Statistics C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离散数学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Discrete Mathematics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数据统计与分析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Data Statistics and Analysis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★</w:t>
            </w: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大学物理1B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College Physics  1B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23.5</w:t>
            </w:r>
          </w:p>
        </w:tc>
        <w:tc>
          <w:tcPr>
            <w:tcW w:w="524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创新创业类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创新创业基础教育</w:t>
            </w:r>
          </w:p>
        </w:tc>
        <w:tc>
          <w:tcPr>
            <w:tcW w:w="2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Innovation and Entrepreneurship Foundation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创新创业实践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6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参见成都信息工程大学本科学生创新创业学分说明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24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通识选修</w:t>
            </w:r>
          </w:p>
        </w:tc>
        <w:tc>
          <w:tcPr>
            <w:tcW w:w="6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六类通识教育选修课程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240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人工智能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专业必选《数学模型与方法》；其它参见成都信息工程大学通识教育选修课程修读说明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8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240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0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通识教育合计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71.5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学科基础类课程</w:t>
            </w:r>
          </w:p>
        </w:tc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校级学科基础平台课程</w:t>
            </w:r>
          </w:p>
        </w:tc>
        <w:tc>
          <w:tcPr>
            <w:tcW w:w="3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语言程序设计</w:t>
            </w:r>
            <w:r>
              <w:rPr>
                <w:kern w:val="0"/>
                <w:sz w:val="18"/>
                <w:szCs w:val="18"/>
              </w:rPr>
              <w:t>1A</w:t>
            </w:r>
          </w:p>
        </w:tc>
        <w:tc>
          <w:tcPr>
            <w:tcW w:w="2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 Language Programming I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语言程序设计</w:t>
            </w:r>
            <w:r>
              <w:rPr>
                <w:kern w:val="0"/>
                <w:sz w:val="18"/>
                <w:szCs w:val="18"/>
              </w:rPr>
              <w:t>2A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 Language Programming II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数据结构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Data Structure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数据库原理及应用A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Database System Principles and Application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面向对象程序设计（</w:t>
            </w:r>
            <w:r>
              <w:rPr>
                <w:kern w:val="0"/>
                <w:sz w:val="18"/>
                <w:szCs w:val="18"/>
              </w:rPr>
              <w:t>Java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）A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Object-oriented Programming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color w:val="000000"/>
                <w:kern w:val="0"/>
                <w:sz w:val="18"/>
                <w:szCs w:val="18"/>
              </w:rPr>
              <w:t>Java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操作系统原理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Principles of Operating System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计算机组成原理A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Principles of Computer Organization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信息安全基础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Introduction to Information Security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计算机网络A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Computer Networks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院级专业基础平台课程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工程导论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Introduction to Engineering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数字电路与逻辑设计</w:t>
            </w:r>
            <w:r>
              <w:rPr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Digital Circuit and Digital Logic Design C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电子技术基础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Fundamental of Electronic Technology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专业基础课程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专业教育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Specialty Education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1,2,3,4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Software Engineering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项目管理与经济决策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Project Management and Economic Decisions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人工智能导论(双语)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Introduction to artificial Intelligence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专业前沿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Frontier Specialty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5,6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学科基础类课程合计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524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专业课程</w:t>
            </w:r>
          </w:p>
        </w:tc>
        <w:tc>
          <w:tcPr>
            <w:tcW w:w="5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数据挖掘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云计算导论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Introduction to Cloud Computing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大数据应用基础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Big Data Application Foundation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智能系统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Computer Graphics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计算机视觉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Computer Vision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脑与认知科学导论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Introduction to Brain and Cognitive Science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机器学习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Machine Learning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Java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企业级应用开发</w:t>
            </w:r>
            <w:r>
              <w:rPr>
                <w:color w:val="000000"/>
                <w:kern w:val="0"/>
                <w:sz w:val="18"/>
                <w:szCs w:val="18"/>
              </w:rPr>
              <w:t>(J2EE)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Java Enterprise - level Application Development (J2EE)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工程实践4-大数据应用实践项目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Big Data Application Practice Project</w:t>
            </w:r>
          </w:p>
        </w:tc>
        <w:tc>
          <w:tcPr>
            <w:tcW w:w="6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工程实践4-人工智能综合实践项目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Artificial Intelligence Practice Project</w:t>
            </w: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工程实践4-</w:t>
            </w:r>
            <w:r>
              <w:rPr>
                <w:color w:val="000000"/>
                <w:kern w:val="0"/>
                <w:sz w:val="18"/>
                <w:szCs w:val="18"/>
              </w:rPr>
              <w:t>J2EE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软件管理综合项目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J2EE Software Management Project </w:t>
            </w: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工程实践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Engineering 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Segoe UI Symbol" w:hAnsi="Segoe UI Symbol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Segoe UI Symbol" w:hAnsi="Segoe UI Symbol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2,3,4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Graduation 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266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Graduation Thesis/Design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7,8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0" w:type="dxa"/>
            <w:gridSpan w:val="3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0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38.5</w:t>
            </w:r>
          </w:p>
        </w:tc>
        <w:tc>
          <w:tcPr>
            <w:tcW w:w="5240" w:type="dxa"/>
            <w:gridSpan w:val="8"/>
            <w:tcBorders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必选2个方向。3门“工程实践4”课程，至少选择1门。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数据挖掘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数据挖掘与应用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Data Mining and Application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工程实践5-数据挖掘实践项目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Data Mining Practice Project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智能系统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并行程序设计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Parallel Programming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工程实践5-并行计算综合实践项目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Parallel Computing Practice Project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任选</w:t>
            </w:r>
          </w:p>
        </w:tc>
        <w:tc>
          <w:tcPr>
            <w:tcW w:w="3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智能机器人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Intelligent Robot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自然语言处理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Natural Language Processing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物联网技术与应用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Technology and Application in Internet of Things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编译技术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Compilation Technology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移动终端编程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Mobile Terminal Programming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24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任选1个方向；任选课选择2门。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个性化自主学习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科研训练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Scientific Research Training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多学科项目训练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Multidisciplinary Project Training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国际化训练</w:t>
            </w:r>
          </w:p>
        </w:tc>
        <w:tc>
          <w:tcPr>
            <w:tcW w:w="2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International Training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专业课程合计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48.5</w:t>
            </w:r>
          </w:p>
        </w:tc>
        <w:tc>
          <w:tcPr>
            <w:tcW w:w="524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5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9D9D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524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>
      <w:pPr>
        <w:spacing w:before="156" w:beforeLines="50" w:line="360" w:lineRule="auto"/>
        <w:rPr>
          <w:rFonts w:hAnsi="宋体"/>
          <w:b/>
        </w:rPr>
        <w:sectPr>
          <w:pgSz w:w="16838" w:h="11906" w:orient="landscape"/>
          <w:pgMar w:top="1080" w:right="1440" w:bottom="1080" w:left="1440" w:header="851" w:footer="992" w:gutter="0"/>
          <w:pgNumType w:start="0"/>
          <w:cols w:space="720" w:num="1"/>
          <w:titlePg/>
          <w:docGrid w:type="linesAndChars" w:linePitch="312" w:charSpace="0"/>
        </w:sectPr>
      </w:pPr>
    </w:p>
    <w:p>
      <w:pPr>
        <w:spacing w:before="156" w:beforeLines="50" w:line="360" w:lineRule="auto"/>
        <w:rPr>
          <w:rFonts w:hAnsi="宋体"/>
          <w:b/>
        </w:rPr>
      </w:pPr>
      <w:r>
        <w:rPr>
          <w:rFonts w:hint="eastAsia" w:hAnsi="宋体"/>
          <w:b/>
        </w:rPr>
        <w:t>七</w:t>
      </w:r>
      <w:r>
        <w:rPr>
          <w:rFonts w:hAnsi="宋体"/>
          <w:b/>
        </w:rPr>
        <w:t>、</w:t>
      </w:r>
      <w:r>
        <w:rPr>
          <w:rFonts w:hint="eastAsia" w:hAnsi="宋体"/>
          <w:b/>
        </w:rPr>
        <w:t>指导性修读建议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1、专业必修课选课指导意见 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专业必修课模块课程必选2个方向。“数据挖掘方向”侧重数据处理分析，“智能系统方向”侧重数字图像处理分析。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2、选修课选课指导意见 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选修课程总共17个学分：其中通识教育课程7个学分，专业课选修模块至少8学分，个性化自主学习模块至少2个学分。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通识教育课程7个学分中，</w:t>
      </w:r>
      <w:r>
        <w:rPr>
          <w:kern w:val="0"/>
          <w:szCs w:val="21"/>
        </w:rPr>
        <w:t>人工智能</w:t>
      </w:r>
      <w:r>
        <w:rPr>
          <w:rFonts w:hint="eastAsia"/>
          <w:kern w:val="0"/>
          <w:szCs w:val="21"/>
        </w:rPr>
        <w:t>专业必选《数学模型与方法》，其它参见成都信息工程大学通识教育选修课程修读说明。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专业选修的方向模块作为组合课程，只能整体选择，至少选择一个方向。“数据挖掘方向”侧重数据挖掘，“智能系统方向”侧重计算优化。</w:t>
      </w:r>
    </w:p>
    <w:p>
      <w:pPr>
        <w:spacing w:line="360" w:lineRule="auto"/>
        <w:ind w:firstLine="422" w:firstLineChars="200"/>
        <w:rPr>
          <w:rFonts w:hAnsi="宋体"/>
          <w:b/>
        </w:rPr>
      </w:pPr>
    </w:p>
    <w:p>
      <w:pPr>
        <w:spacing w:line="360" w:lineRule="auto"/>
        <w:ind w:firstLine="422" w:firstLineChars="200"/>
        <w:rPr>
          <w:rFonts w:hAnsi="宋体"/>
          <w:b/>
        </w:rPr>
      </w:pPr>
    </w:p>
    <w:tbl>
      <w:tblPr>
        <w:tblStyle w:val="20"/>
        <w:tblW w:w="595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992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993" w:type="dxa"/>
          </w:tcPr>
          <w:p>
            <w:pPr>
              <w:spacing w:before="156" w:beforeLines="50" w:line="360" w:lineRule="auto"/>
              <w:rPr>
                <w:rFonts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撰写人：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before="156" w:beforeLines="50" w:line="360" w:lineRule="auto"/>
              <w:rPr>
                <w:rFonts w:hAnsi="宋体"/>
                <w:b/>
              </w:rPr>
            </w:pPr>
          </w:p>
        </w:tc>
        <w:tc>
          <w:tcPr>
            <w:tcW w:w="992" w:type="dxa"/>
          </w:tcPr>
          <w:p>
            <w:pPr>
              <w:spacing w:before="156" w:beforeLines="50" w:line="360" w:lineRule="auto"/>
              <w:jc w:val="left"/>
              <w:rPr>
                <w:rFonts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审核人：</w:t>
            </w:r>
          </w:p>
        </w:tc>
        <w:tc>
          <w:tcPr>
            <w:tcW w:w="1985" w:type="dxa"/>
            <w:tcBorders>
              <w:bottom w:val="single" w:color="auto" w:sz="4" w:space="0"/>
            </w:tcBorders>
          </w:tcPr>
          <w:p>
            <w:pPr>
              <w:spacing w:before="156" w:beforeLines="50" w:line="360" w:lineRule="auto"/>
              <w:rPr>
                <w:rFonts w:hAnsi="宋体"/>
                <w:b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954" w:type="dxa"/>
            <w:gridSpan w:val="4"/>
          </w:tcPr>
          <w:p>
            <w:pPr>
              <w:spacing w:before="156" w:beforeLines="50" w:line="360" w:lineRule="auto"/>
              <w:jc w:val="right"/>
              <w:rPr>
                <w:rFonts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2019年 6月</w:t>
            </w:r>
          </w:p>
        </w:tc>
      </w:tr>
    </w:tbl>
    <w:p>
      <w:pPr>
        <w:wordWrap w:val="0"/>
        <w:spacing w:line="360" w:lineRule="auto"/>
        <w:ind w:right="840"/>
      </w:pPr>
    </w:p>
    <w:sectPr>
      <w:pgSz w:w="11906" w:h="16838"/>
      <w:pgMar w:top="1440" w:right="1080" w:bottom="1440" w:left="1080" w:header="851" w:footer="992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1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2</w:t>
    </w:r>
    <w:r>
      <w:fldChar w:fldCharType="end"/>
    </w:r>
  </w:p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3BC"/>
    <w:rsid w:val="0000052C"/>
    <w:rsid w:val="00000611"/>
    <w:rsid w:val="00001A19"/>
    <w:rsid w:val="000020F6"/>
    <w:rsid w:val="00002822"/>
    <w:rsid w:val="00003001"/>
    <w:rsid w:val="00003527"/>
    <w:rsid w:val="0000389D"/>
    <w:rsid w:val="000050BC"/>
    <w:rsid w:val="000062FE"/>
    <w:rsid w:val="00007DFA"/>
    <w:rsid w:val="00010D1B"/>
    <w:rsid w:val="00015B92"/>
    <w:rsid w:val="00016B0A"/>
    <w:rsid w:val="000202B0"/>
    <w:rsid w:val="00024187"/>
    <w:rsid w:val="00027E0F"/>
    <w:rsid w:val="0003499C"/>
    <w:rsid w:val="000368E5"/>
    <w:rsid w:val="000433D8"/>
    <w:rsid w:val="000446ED"/>
    <w:rsid w:val="000447E8"/>
    <w:rsid w:val="00046B60"/>
    <w:rsid w:val="000503EA"/>
    <w:rsid w:val="00052B5C"/>
    <w:rsid w:val="000532A6"/>
    <w:rsid w:val="0006174E"/>
    <w:rsid w:val="0006497B"/>
    <w:rsid w:val="0006626D"/>
    <w:rsid w:val="00066B8B"/>
    <w:rsid w:val="00070373"/>
    <w:rsid w:val="00074D45"/>
    <w:rsid w:val="00081078"/>
    <w:rsid w:val="00081A82"/>
    <w:rsid w:val="00081C48"/>
    <w:rsid w:val="00084AF2"/>
    <w:rsid w:val="00084B12"/>
    <w:rsid w:val="00094B80"/>
    <w:rsid w:val="00094C58"/>
    <w:rsid w:val="0009515B"/>
    <w:rsid w:val="00097A94"/>
    <w:rsid w:val="000A1903"/>
    <w:rsid w:val="000A2349"/>
    <w:rsid w:val="000A26F3"/>
    <w:rsid w:val="000A3A5B"/>
    <w:rsid w:val="000A4577"/>
    <w:rsid w:val="000A62B8"/>
    <w:rsid w:val="000A6CC0"/>
    <w:rsid w:val="000B1545"/>
    <w:rsid w:val="000B213B"/>
    <w:rsid w:val="000B2199"/>
    <w:rsid w:val="000B2546"/>
    <w:rsid w:val="000B31CE"/>
    <w:rsid w:val="000B4330"/>
    <w:rsid w:val="000B6944"/>
    <w:rsid w:val="000B6AC6"/>
    <w:rsid w:val="000B741F"/>
    <w:rsid w:val="000C2672"/>
    <w:rsid w:val="000C2D3B"/>
    <w:rsid w:val="000C3774"/>
    <w:rsid w:val="000C6A09"/>
    <w:rsid w:val="000D1F9E"/>
    <w:rsid w:val="000D7930"/>
    <w:rsid w:val="000D7ADE"/>
    <w:rsid w:val="000E026D"/>
    <w:rsid w:val="000E36A3"/>
    <w:rsid w:val="000E6C89"/>
    <w:rsid w:val="000F1661"/>
    <w:rsid w:val="000F17B1"/>
    <w:rsid w:val="000F34E3"/>
    <w:rsid w:val="000F4B0C"/>
    <w:rsid w:val="000F60C5"/>
    <w:rsid w:val="00101377"/>
    <w:rsid w:val="0010260D"/>
    <w:rsid w:val="00102D7F"/>
    <w:rsid w:val="0010325F"/>
    <w:rsid w:val="00104023"/>
    <w:rsid w:val="00104217"/>
    <w:rsid w:val="00104782"/>
    <w:rsid w:val="00105928"/>
    <w:rsid w:val="00107702"/>
    <w:rsid w:val="00107952"/>
    <w:rsid w:val="00110194"/>
    <w:rsid w:val="0011134D"/>
    <w:rsid w:val="00114DD0"/>
    <w:rsid w:val="00120508"/>
    <w:rsid w:val="00120740"/>
    <w:rsid w:val="00121BE6"/>
    <w:rsid w:val="00121D29"/>
    <w:rsid w:val="001228E9"/>
    <w:rsid w:val="00123A3A"/>
    <w:rsid w:val="00123DB5"/>
    <w:rsid w:val="00124592"/>
    <w:rsid w:val="00126D2B"/>
    <w:rsid w:val="00127EF6"/>
    <w:rsid w:val="0013050F"/>
    <w:rsid w:val="001307F0"/>
    <w:rsid w:val="001309F4"/>
    <w:rsid w:val="001320E3"/>
    <w:rsid w:val="00132D55"/>
    <w:rsid w:val="00133BD2"/>
    <w:rsid w:val="0013422F"/>
    <w:rsid w:val="00135FF2"/>
    <w:rsid w:val="00141409"/>
    <w:rsid w:val="00142600"/>
    <w:rsid w:val="001478CE"/>
    <w:rsid w:val="00153EAF"/>
    <w:rsid w:val="00154434"/>
    <w:rsid w:val="00155FAF"/>
    <w:rsid w:val="00156A3E"/>
    <w:rsid w:val="00166F14"/>
    <w:rsid w:val="00167F9F"/>
    <w:rsid w:val="00172628"/>
    <w:rsid w:val="00177BD0"/>
    <w:rsid w:val="00181760"/>
    <w:rsid w:val="00182886"/>
    <w:rsid w:val="001844AC"/>
    <w:rsid w:val="00185D9F"/>
    <w:rsid w:val="00186918"/>
    <w:rsid w:val="00187173"/>
    <w:rsid w:val="00187B35"/>
    <w:rsid w:val="00191743"/>
    <w:rsid w:val="001933E0"/>
    <w:rsid w:val="00193668"/>
    <w:rsid w:val="00193CFE"/>
    <w:rsid w:val="00196794"/>
    <w:rsid w:val="00197F89"/>
    <w:rsid w:val="001A130B"/>
    <w:rsid w:val="001A17C4"/>
    <w:rsid w:val="001A2716"/>
    <w:rsid w:val="001A5286"/>
    <w:rsid w:val="001B198F"/>
    <w:rsid w:val="001B2739"/>
    <w:rsid w:val="001B2E52"/>
    <w:rsid w:val="001B3ED3"/>
    <w:rsid w:val="001B4157"/>
    <w:rsid w:val="001B4D68"/>
    <w:rsid w:val="001B510A"/>
    <w:rsid w:val="001B5D78"/>
    <w:rsid w:val="001B5F54"/>
    <w:rsid w:val="001B6687"/>
    <w:rsid w:val="001C00B3"/>
    <w:rsid w:val="001C323E"/>
    <w:rsid w:val="001C3348"/>
    <w:rsid w:val="001C485B"/>
    <w:rsid w:val="001C7DE0"/>
    <w:rsid w:val="001D3076"/>
    <w:rsid w:val="001D4D4A"/>
    <w:rsid w:val="001D6A23"/>
    <w:rsid w:val="001E22F0"/>
    <w:rsid w:val="001E29F8"/>
    <w:rsid w:val="001E3822"/>
    <w:rsid w:val="001E44A6"/>
    <w:rsid w:val="001E557D"/>
    <w:rsid w:val="001E76E4"/>
    <w:rsid w:val="001F1241"/>
    <w:rsid w:val="001F1284"/>
    <w:rsid w:val="001F2C8E"/>
    <w:rsid w:val="001F5058"/>
    <w:rsid w:val="001F6504"/>
    <w:rsid w:val="001F6922"/>
    <w:rsid w:val="0020375A"/>
    <w:rsid w:val="002043CE"/>
    <w:rsid w:val="00204BE6"/>
    <w:rsid w:val="002059CB"/>
    <w:rsid w:val="00206EEA"/>
    <w:rsid w:val="0021031C"/>
    <w:rsid w:val="00213DE5"/>
    <w:rsid w:val="00214EAB"/>
    <w:rsid w:val="002164B5"/>
    <w:rsid w:val="002177C0"/>
    <w:rsid w:val="00221356"/>
    <w:rsid w:val="0022166E"/>
    <w:rsid w:val="00221819"/>
    <w:rsid w:val="0022657C"/>
    <w:rsid w:val="00227299"/>
    <w:rsid w:val="002272FD"/>
    <w:rsid w:val="00227985"/>
    <w:rsid w:val="00227B7E"/>
    <w:rsid w:val="00230F19"/>
    <w:rsid w:val="00232E2B"/>
    <w:rsid w:val="002366FE"/>
    <w:rsid w:val="00240CA4"/>
    <w:rsid w:val="002419C0"/>
    <w:rsid w:val="00242085"/>
    <w:rsid w:val="002427DC"/>
    <w:rsid w:val="00243462"/>
    <w:rsid w:val="00244F62"/>
    <w:rsid w:val="002453EB"/>
    <w:rsid w:val="00245434"/>
    <w:rsid w:val="00247EE3"/>
    <w:rsid w:val="00252455"/>
    <w:rsid w:val="00252A11"/>
    <w:rsid w:val="00253D53"/>
    <w:rsid w:val="00260A73"/>
    <w:rsid w:val="00265AD4"/>
    <w:rsid w:val="002671A9"/>
    <w:rsid w:val="0027053D"/>
    <w:rsid w:val="00275C8C"/>
    <w:rsid w:val="0027639D"/>
    <w:rsid w:val="0028021F"/>
    <w:rsid w:val="00291177"/>
    <w:rsid w:val="00292FA0"/>
    <w:rsid w:val="002936CC"/>
    <w:rsid w:val="00293740"/>
    <w:rsid w:val="00294EBE"/>
    <w:rsid w:val="00295254"/>
    <w:rsid w:val="002A01E7"/>
    <w:rsid w:val="002A0C0D"/>
    <w:rsid w:val="002A2E61"/>
    <w:rsid w:val="002A3D39"/>
    <w:rsid w:val="002A5E42"/>
    <w:rsid w:val="002A758A"/>
    <w:rsid w:val="002B24DF"/>
    <w:rsid w:val="002B5733"/>
    <w:rsid w:val="002B5ADF"/>
    <w:rsid w:val="002B7287"/>
    <w:rsid w:val="002B78EB"/>
    <w:rsid w:val="002C051A"/>
    <w:rsid w:val="002C3BF8"/>
    <w:rsid w:val="002C4C4C"/>
    <w:rsid w:val="002C6C67"/>
    <w:rsid w:val="002C6DA9"/>
    <w:rsid w:val="002D421F"/>
    <w:rsid w:val="002D62E8"/>
    <w:rsid w:val="002E0DBC"/>
    <w:rsid w:val="002E2C64"/>
    <w:rsid w:val="002E6C44"/>
    <w:rsid w:val="002E72C2"/>
    <w:rsid w:val="002E74F2"/>
    <w:rsid w:val="002F1B26"/>
    <w:rsid w:val="002F2F7B"/>
    <w:rsid w:val="002F48C8"/>
    <w:rsid w:val="00301C2D"/>
    <w:rsid w:val="00304E68"/>
    <w:rsid w:val="00305475"/>
    <w:rsid w:val="00305515"/>
    <w:rsid w:val="003066CC"/>
    <w:rsid w:val="003067CF"/>
    <w:rsid w:val="00307942"/>
    <w:rsid w:val="00312497"/>
    <w:rsid w:val="00317834"/>
    <w:rsid w:val="00320045"/>
    <w:rsid w:val="00320AA0"/>
    <w:rsid w:val="00325E3E"/>
    <w:rsid w:val="0033074B"/>
    <w:rsid w:val="0033254A"/>
    <w:rsid w:val="00332AF0"/>
    <w:rsid w:val="0033461D"/>
    <w:rsid w:val="00335576"/>
    <w:rsid w:val="003367DE"/>
    <w:rsid w:val="0034080B"/>
    <w:rsid w:val="00341053"/>
    <w:rsid w:val="00350CB0"/>
    <w:rsid w:val="00352E6B"/>
    <w:rsid w:val="00354993"/>
    <w:rsid w:val="003569A5"/>
    <w:rsid w:val="003570B2"/>
    <w:rsid w:val="00357EB7"/>
    <w:rsid w:val="003607A4"/>
    <w:rsid w:val="00363292"/>
    <w:rsid w:val="0036472E"/>
    <w:rsid w:val="0036662E"/>
    <w:rsid w:val="00373442"/>
    <w:rsid w:val="003734A4"/>
    <w:rsid w:val="00375BB5"/>
    <w:rsid w:val="00381A6C"/>
    <w:rsid w:val="0038303A"/>
    <w:rsid w:val="00386295"/>
    <w:rsid w:val="00386C9C"/>
    <w:rsid w:val="0038784B"/>
    <w:rsid w:val="00390224"/>
    <w:rsid w:val="00393AA2"/>
    <w:rsid w:val="003955B5"/>
    <w:rsid w:val="003A1FA8"/>
    <w:rsid w:val="003A4D01"/>
    <w:rsid w:val="003A5BD0"/>
    <w:rsid w:val="003B19F9"/>
    <w:rsid w:val="003B1B50"/>
    <w:rsid w:val="003B4F63"/>
    <w:rsid w:val="003B6BF4"/>
    <w:rsid w:val="003C162E"/>
    <w:rsid w:val="003C245E"/>
    <w:rsid w:val="003C3E88"/>
    <w:rsid w:val="003C43BB"/>
    <w:rsid w:val="003C69F4"/>
    <w:rsid w:val="003D5A32"/>
    <w:rsid w:val="003D5ABE"/>
    <w:rsid w:val="003D7C13"/>
    <w:rsid w:val="003D7ED6"/>
    <w:rsid w:val="003E042F"/>
    <w:rsid w:val="003E440B"/>
    <w:rsid w:val="003E5F34"/>
    <w:rsid w:val="003F0C38"/>
    <w:rsid w:val="003F1097"/>
    <w:rsid w:val="003F1C44"/>
    <w:rsid w:val="003F45E3"/>
    <w:rsid w:val="003F51DE"/>
    <w:rsid w:val="003F6C65"/>
    <w:rsid w:val="00400581"/>
    <w:rsid w:val="00403CA1"/>
    <w:rsid w:val="00403D9A"/>
    <w:rsid w:val="00406EAF"/>
    <w:rsid w:val="004074CA"/>
    <w:rsid w:val="00410921"/>
    <w:rsid w:val="00411600"/>
    <w:rsid w:val="004120E5"/>
    <w:rsid w:val="0041612E"/>
    <w:rsid w:val="00416615"/>
    <w:rsid w:val="00416A3A"/>
    <w:rsid w:val="00420DFD"/>
    <w:rsid w:val="0042284F"/>
    <w:rsid w:val="004234B0"/>
    <w:rsid w:val="00424220"/>
    <w:rsid w:val="00430078"/>
    <w:rsid w:val="00433939"/>
    <w:rsid w:val="00434F52"/>
    <w:rsid w:val="00435A7E"/>
    <w:rsid w:val="00435EB8"/>
    <w:rsid w:val="00436C8B"/>
    <w:rsid w:val="00437B8B"/>
    <w:rsid w:val="004408EE"/>
    <w:rsid w:val="00440FBD"/>
    <w:rsid w:val="0044148F"/>
    <w:rsid w:val="00441F65"/>
    <w:rsid w:val="004426FB"/>
    <w:rsid w:val="00447E3A"/>
    <w:rsid w:val="004524FE"/>
    <w:rsid w:val="0045482A"/>
    <w:rsid w:val="0046103A"/>
    <w:rsid w:val="004613D5"/>
    <w:rsid w:val="00461F98"/>
    <w:rsid w:val="00462852"/>
    <w:rsid w:val="00464C60"/>
    <w:rsid w:val="00464D34"/>
    <w:rsid w:val="0046554F"/>
    <w:rsid w:val="004720B7"/>
    <w:rsid w:val="00477188"/>
    <w:rsid w:val="00477E95"/>
    <w:rsid w:val="004801AD"/>
    <w:rsid w:val="00481880"/>
    <w:rsid w:val="00482BB8"/>
    <w:rsid w:val="00484428"/>
    <w:rsid w:val="00485EA6"/>
    <w:rsid w:val="004860C4"/>
    <w:rsid w:val="00486595"/>
    <w:rsid w:val="00491290"/>
    <w:rsid w:val="00491B42"/>
    <w:rsid w:val="004925E0"/>
    <w:rsid w:val="00492E58"/>
    <w:rsid w:val="004946B0"/>
    <w:rsid w:val="004949B2"/>
    <w:rsid w:val="004949CB"/>
    <w:rsid w:val="00496DE8"/>
    <w:rsid w:val="004A0F47"/>
    <w:rsid w:val="004A1DEC"/>
    <w:rsid w:val="004A3450"/>
    <w:rsid w:val="004A36F2"/>
    <w:rsid w:val="004A46F2"/>
    <w:rsid w:val="004A51B4"/>
    <w:rsid w:val="004A6D2E"/>
    <w:rsid w:val="004B3BF9"/>
    <w:rsid w:val="004B3E45"/>
    <w:rsid w:val="004B679E"/>
    <w:rsid w:val="004B70DB"/>
    <w:rsid w:val="004C2D22"/>
    <w:rsid w:val="004C2E67"/>
    <w:rsid w:val="004C7A54"/>
    <w:rsid w:val="004D035F"/>
    <w:rsid w:val="004D0AEC"/>
    <w:rsid w:val="004D0E2B"/>
    <w:rsid w:val="004D5A1A"/>
    <w:rsid w:val="004D6972"/>
    <w:rsid w:val="004E01C2"/>
    <w:rsid w:val="004E0E62"/>
    <w:rsid w:val="004E3B9A"/>
    <w:rsid w:val="004E53F6"/>
    <w:rsid w:val="004E6369"/>
    <w:rsid w:val="004E7469"/>
    <w:rsid w:val="004F33B2"/>
    <w:rsid w:val="004F36FA"/>
    <w:rsid w:val="004F3DC4"/>
    <w:rsid w:val="004F4C3A"/>
    <w:rsid w:val="004F4F05"/>
    <w:rsid w:val="004F6074"/>
    <w:rsid w:val="004F60A6"/>
    <w:rsid w:val="004F6765"/>
    <w:rsid w:val="004F714E"/>
    <w:rsid w:val="004F74CB"/>
    <w:rsid w:val="004F78AC"/>
    <w:rsid w:val="0050182F"/>
    <w:rsid w:val="00503C48"/>
    <w:rsid w:val="00503F64"/>
    <w:rsid w:val="00504F6D"/>
    <w:rsid w:val="00505C3C"/>
    <w:rsid w:val="00505EBD"/>
    <w:rsid w:val="005118D1"/>
    <w:rsid w:val="0051289C"/>
    <w:rsid w:val="00514A46"/>
    <w:rsid w:val="005151FD"/>
    <w:rsid w:val="00517435"/>
    <w:rsid w:val="00520754"/>
    <w:rsid w:val="00522958"/>
    <w:rsid w:val="00522BD3"/>
    <w:rsid w:val="00522EDB"/>
    <w:rsid w:val="00524140"/>
    <w:rsid w:val="0052526B"/>
    <w:rsid w:val="00531393"/>
    <w:rsid w:val="00535C02"/>
    <w:rsid w:val="005373F9"/>
    <w:rsid w:val="00537435"/>
    <w:rsid w:val="00537D4B"/>
    <w:rsid w:val="005450E2"/>
    <w:rsid w:val="00551206"/>
    <w:rsid w:val="00551CEB"/>
    <w:rsid w:val="00552B7B"/>
    <w:rsid w:val="005530F7"/>
    <w:rsid w:val="00554148"/>
    <w:rsid w:val="0055473C"/>
    <w:rsid w:val="00555009"/>
    <w:rsid w:val="00556F61"/>
    <w:rsid w:val="0056345D"/>
    <w:rsid w:val="00573948"/>
    <w:rsid w:val="00575381"/>
    <w:rsid w:val="00576388"/>
    <w:rsid w:val="005779C3"/>
    <w:rsid w:val="005810CA"/>
    <w:rsid w:val="00582E09"/>
    <w:rsid w:val="005923B2"/>
    <w:rsid w:val="005939A7"/>
    <w:rsid w:val="00595D55"/>
    <w:rsid w:val="00595E55"/>
    <w:rsid w:val="005970FB"/>
    <w:rsid w:val="005A0C37"/>
    <w:rsid w:val="005A153C"/>
    <w:rsid w:val="005A643E"/>
    <w:rsid w:val="005A7BFB"/>
    <w:rsid w:val="005B1A3B"/>
    <w:rsid w:val="005B41ED"/>
    <w:rsid w:val="005B4626"/>
    <w:rsid w:val="005B4985"/>
    <w:rsid w:val="005B56B2"/>
    <w:rsid w:val="005B5FF2"/>
    <w:rsid w:val="005C306A"/>
    <w:rsid w:val="005C43B9"/>
    <w:rsid w:val="005C5A12"/>
    <w:rsid w:val="005C63D0"/>
    <w:rsid w:val="005C68FF"/>
    <w:rsid w:val="005C7AA4"/>
    <w:rsid w:val="005D0119"/>
    <w:rsid w:val="005D1053"/>
    <w:rsid w:val="005D28CF"/>
    <w:rsid w:val="005D6031"/>
    <w:rsid w:val="005D6D1E"/>
    <w:rsid w:val="005D779E"/>
    <w:rsid w:val="005E10B1"/>
    <w:rsid w:val="005E3972"/>
    <w:rsid w:val="005F0A59"/>
    <w:rsid w:val="005F77D6"/>
    <w:rsid w:val="00607C26"/>
    <w:rsid w:val="00613279"/>
    <w:rsid w:val="00613853"/>
    <w:rsid w:val="006144BE"/>
    <w:rsid w:val="006160ED"/>
    <w:rsid w:val="006171CE"/>
    <w:rsid w:val="00617D02"/>
    <w:rsid w:val="00620162"/>
    <w:rsid w:val="006213D2"/>
    <w:rsid w:val="006214C8"/>
    <w:rsid w:val="00622A2A"/>
    <w:rsid w:val="00622C2C"/>
    <w:rsid w:val="00624036"/>
    <w:rsid w:val="00625A9E"/>
    <w:rsid w:val="00630535"/>
    <w:rsid w:val="006315CB"/>
    <w:rsid w:val="00634815"/>
    <w:rsid w:val="00634EFE"/>
    <w:rsid w:val="006411FF"/>
    <w:rsid w:val="00642106"/>
    <w:rsid w:val="0064458F"/>
    <w:rsid w:val="00645076"/>
    <w:rsid w:val="006466CE"/>
    <w:rsid w:val="00647749"/>
    <w:rsid w:val="0064774B"/>
    <w:rsid w:val="00647FF9"/>
    <w:rsid w:val="00650C82"/>
    <w:rsid w:val="00650F16"/>
    <w:rsid w:val="006532CD"/>
    <w:rsid w:val="006538DC"/>
    <w:rsid w:val="00654804"/>
    <w:rsid w:val="006548E8"/>
    <w:rsid w:val="006550A5"/>
    <w:rsid w:val="006626C3"/>
    <w:rsid w:val="00663B70"/>
    <w:rsid w:val="0066458A"/>
    <w:rsid w:val="00667534"/>
    <w:rsid w:val="0067048A"/>
    <w:rsid w:val="00670A0C"/>
    <w:rsid w:val="0067212C"/>
    <w:rsid w:val="006751CA"/>
    <w:rsid w:val="0067609A"/>
    <w:rsid w:val="00677174"/>
    <w:rsid w:val="006823AF"/>
    <w:rsid w:val="00683496"/>
    <w:rsid w:val="00684315"/>
    <w:rsid w:val="0068551E"/>
    <w:rsid w:val="00685F56"/>
    <w:rsid w:val="0068755E"/>
    <w:rsid w:val="00687B20"/>
    <w:rsid w:val="006911DB"/>
    <w:rsid w:val="00691EA8"/>
    <w:rsid w:val="006939EB"/>
    <w:rsid w:val="006947E7"/>
    <w:rsid w:val="00696C36"/>
    <w:rsid w:val="006A062F"/>
    <w:rsid w:val="006A0D12"/>
    <w:rsid w:val="006A2183"/>
    <w:rsid w:val="006A3DC1"/>
    <w:rsid w:val="006B0115"/>
    <w:rsid w:val="006B4948"/>
    <w:rsid w:val="006B69D8"/>
    <w:rsid w:val="006C2116"/>
    <w:rsid w:val="006C3909"/>
    <w:rsid w:val="006C3CC8"/>
    <w:rsid w:val="006C68B9"/>
    <w:rsid w:val="006C6B31"/>
    <w:rsid w:val="006C7822"/>
    <w:rsid w:val="006C7C7D"/>
    <w:rsid w:val="006D030A"/>
    <w:rsid w:val="006D1CC3"/>
    <w:rsid w:val="006D2EB2"/>
    <w:rsid w:val="006D305D"/>
    <w:rsid w:val="006D3E63"/>
    <w:rsid w:val="006D48B9"/>
    <w:rsid w:val="006D4B0D"/>
    <w:rsid w:val="006D5902"/>
    <w:rsid w:val="006E0BC6"/>
    <w:rsid w:val="006E4F00"/>
    <w:rsid w:val="006E5001"/>
    <w:rsid w:val="006F0848"/>
    <w:rsid w:val="006F1800"/>
    <w:rsid w:val="006F20BC"/>
    <w:rsid w:val="006F2B57"/>
    <w:rsid w:val="006F3168"/>
    <w:rsid w:val="006F3CC9"/>
    <w:rsid w:val="006F3DF9"/>
    <w:rsid w:val="006F462C"/>
    <w:rsid w:val="006F6057"/>
    <w:rsid w:val="00703728"/>
    <w:rsid w:val="00703EE2"/>
    <w:rsid w:val="00704727"/>
    <w:rsid w:val="00704898"/>
    <w:rsid w:val="00704ADF"/>
    <w:rsid w:val="00705D5C"/>
    <w:rsid w:val="007061DA"/>
    <w:rsid w:val="00706A20"/>
    <w:rsid w:val="007073A8"/>
    <w:rsid w:val="007074A3"/>
    <w:rsid w:val="007077E2"/>
    <w:rsid w:val="00710CF6"/>
    <w:rsid w:val="00714407"/>
    <w:rsid w:val="00715067"/>
    <w:rsid w:val="00716E20"/>
    <w:rsid w:val="00717A6C"/>
    <w:rsid w:val="00726DC6"/>
    <w:rsid w:val="007276CF"/>
    <w:rsid w:val="00730121"/>
    <w:rsid w:val="007317AA"/>
    <w:rsid w:val="00731829"/>
    <w:rsid w:val="007326AB"/>
    <w:rsid w:val="007362E7"/>
    <w:rsid w:val="00736798"/>
    <w:rsid w:val="007376A3"/>
    <w:rsid w:val="007441B0"/>
    <w:rsid w:val="00750B97"/>
    <w:rsid w:val="00752D2C"/>
    <w:rsid w:val="00760102"/>
    <w:rsid w:val="0076168A"/>
    <w:rsid w:val="00761B5D"/>
    <w:rsid w:val="00764EE9"/>
    <w:rsid w:val="00766C30"/>
    <w:rsid w:val="00767936"/>
    <w:rsid w:val="00770EC3"/>
    <w:rsid w:val="00771004"/>
    <w:rsid w:val="007739CA"/>
    <w:rsid w:val="00773F38"/>
    <w:rsid w:val="0077693A"/>
    <w:rsid w:val="00781AEB"/>
    <w:rsid w:val="00782B30"/>
    <w:rsid w:val="00785FD5"/>
    <w:rsid w:val="00786566"/>
    <w:rsid w:val="007866E0"/>
    <w:rsid w:val="00787410"/>
    <w:rsid w:val="00791CA0"/>
    <w:rsid w:val="007921F3"/>
    <w:rsid w:val="0079431C"/>
    <w:rsid w:val="00796996"/>
    <w:rsid w:val="00797A4E"/>
    <w:rsid w:val="007A4C0C"/>
    <w:rsid w:val="007A4C9F"/>
    <w:rsid w:val="007B26CA"/>
    <w:rsid w:val="007B42D7"/>
    <w:rsid w:val="007B6653"/>
    <w:rsid w:val="007C0BEF"/>
    <w:rsid w:val="007C164B"/>
    <w:rsid w:val="007C1857"/>
    <w:rsid w:val="007C5A89"/>
    <w:rsid w:val="007C6F87"/>
    <w:rsid w:val="007C73BC"/>
    <w:rsid w:val="007C7A59"/>
    <w:rsid w:val="007D1072"/>
    <w:rsid w:val="007D694D"/>
    <w:rsid w:val="007D7B5B"/>
    <w:rsid w:val="007E12B2"/>
    <w:rsid w:val="007E2B14"/>
    <w:rsid w:val="007E3F5B"/>
    <w:rsid w:val="007E44FC"/>
    <w:rsid w:val="007E6C0A"/>
    <w:rsid w:val="007F0F31"/>
    <w:rsid w:val="007F0FEF"/>
    <w:rsid w:val="007F2AFA"/>
    <w:rsid w:val="00801FEA"/>
    <w:rsid w:val="00803FB8"/>
    <w:rsid w:val="00810255"/>
    <w:rsid w:val="00814977"/>
    <w:rsid w:val="00814FAE"/>
    <w:rsid w:val="0082129A"/>
    <w:rsid w:val="00822BC5"/>
    <w:rsid w:val="00822C97"/>
    <w:rsid w:val="00822CA9"/>
    <w:rsid w:val="00824245"/>
    <w:rsid w:val="00831AA4"/>
    <w:rsid w:val="008323A0"/>
    <w:rsid w:val="00832463"/>
    <w:rsid w:val="0083519A"/>
    <w:rsid w:val="00835D92"/>
    <w:rsid w:val="008365F7"/>
    <w:rsid w:val="008449DF"/>
    <w:rsid w:val="008458D2"/>
    <w:rsid w:val="00846D29"/>
    <w:rsid w:val="008477CF"/>
    <w:rsid w:val="008500D5"/>
    <w:rsid w:val="008503C3"/>
    <w:rsid w:val="008556AF"/>
    <w:rsid w:val="00855850"/>
    <w:rsid w:val="008576B9"/>
    <w:rsid w:val="00861805"/>
    <w:rsid w:val="00862C92"/>
    <w:rsid w:val="00866C95"/>
    <w:rsid w:val="008676A0"/>
    <w:rsid w:val="008707FA"/>
    <w:rsid w:val="008727F5"/>
    <w:rsid w:val="008732E2"/>
    <w:rsid w:val="00873F42"/>
    <w:rsid w:val="00877DD7"/>
    <w:rsid w:val="0088431D"/>
    <w:rsid w:val="00886CA5"/>
    <w:rsid w:val="00887F83"/>
    <w:rsid w:val="008912FC"/>
    <w:rsid w:val="00892E30"/>
    <w:rsid w:val="0089336A"/>
    <w:rsid w:val="008A59A9"/>
    <w:rsid w:val="008B187D"/>
    <w:rsid w:val="008B36C7"/>
    <w:rsid w:val="008B5253"/>
    <w:rsid w:val="008B676D"/>
    <w:rsid w:val="008B7C1D"/>
    <w:rsid w:val="008C023E"/>
    <w:rsid w:val="008C2906"/>
    <w:rsid w:val="008C305B"/>
    <w:rsid w:val="008C5E5F"/>
    <w:rsid w:val="008D59A5"/>
    <w:rsid w:val="008D6630"/>
    <w:rsid w:val="008E0899"/>
    <w:rsid w:val="008E2189"/>
    <w:rsid w:val="008E4780"/>
    <w:rsid w:val="008F02EC"/>
    <w:rsid w:val="008F06EF"/>
    <w:rsid w:val="008F194A"/>
    <w:rsid w:val="008F3130"/>
    <w:rsid w:val="00900C45"/>
    <w:rsid w:val="00901CA5"/>
    <w:rsid w:val="00902166"/>
    <w:rsid w:val="00910C38"/>
    <w:rsid w:val="0091235C"/>
    <w:rsid w:val="0091276A"/>
    <w:rsid w:val="0091347C"/>
    <w:rsid w:val="009136FC"/>
    <w:rsid w:val="00914191"/>
    <w:rsid w:val="0091456D"/>
    <w:rsid w:val="00915AB8"/>
    <w:rsid w:val="009174E7"/>
    <w:rsid w:val="00920172"/>
    <w:rsid w:val="0092065B"/>
    <w:rsid w:val="00922283"/>
    <w:rsid w:val="00923B33"/>
    <w:rsid w:val="00923CEE"/>
    <w:rsid w:val="009276E1"/>
    <w:rsid w:val="00932DE5"/>
    <w:rsid w:val="009359BB"/>
    <w:rsid w:val="00937E36"/>
    <w:rsid w:val="00940582"/>
    <w:rsid w:val="009407B6"/>
    <w:rsid w:val="00941E88"/>
    <w:rsid w:val="00943001"/>
    <w:rsid w:val="009474AF"/>
    <w:rsid w:val="00951772"/>
    <w:rsid w:val="00953AB2"/>
    <w:rsid w:val="00955A8C"/>
    <w:rsid w:val="00955C64"/>
    <w:rsid w:val="00956DAB"/>
    <w:rsid w:val="0095725D"/>
    <w:rsid w:val="00960609"/>
    <w:rsid w:val="00962A56"/>
    <w:rsid w:val="00964312"/>
    <w:rsid w:val="00966DF8"/>
    <w:rsid w:val="0096748B"/>
    <w:rsid w:val="0097099D"/>
    <w:rsid w:val="009715E2"/>
    <w:rsid w:val="00971795"/>
    <w:rsid w:val="00971CF2"/>
    <w:rsid w:val="00983725"/>
    <w:rsid w:val="00984D58"/>
    <w:rsid w:val="00986C18"/>
    <w:rsid w:val="00987926"/>
    <w:rsid w:val="00990F6B"/>
    <w:rsid w:val="009924C9"/>
    <w:rsid w:val="00992A95"/>
    <w:rsid w:val="00995538"/>
    <w:rsid w:val="009961B3"/>
    <w:rsid w:val="009A31B4"/>
    <w:rsid w:val="009A52C9"/>
    <w:rsid w:val="009A66A2"/>
    <w:rsid w:val="009A6C96"/>
    <w:rsid w:val="009A7222"/>
    <w:rsid w:val="009B1B36"/>
    <w:rsid w:val="009B287A"/>
    <w:rsid w:val="009C0077"/>
    <w:rsid w:val="009C398F"/>
    <w:rsid w:val="009C6954"/>
    <w:rsid w:val="009C6D3B"/>
    <w:rsid w:val="009C71F7"/>
    <w:rsid w:val="009D063F"/>
    <w:rsid w:val="009D0DA0"/>
    <w:rsid w:val="009D15CD"/>
    <w:rsid w:val="009D1FAE"/>
    <w:rsid w:val="009D24F3"/>
    <w:rsid w:val="009D2E4D"/>
    <w:rsid w:val="009D316A"/>
    <w:rsid w:val="009D36D0"/>
    <w:rsid w:val="009D5309"/>
    <w:rsid w:val="009D6D8E"/>
    <w:rsid w:val="009E0FE9"/>
    <w:rsid w:val="009E289A"/>
    <w:rsid w:val="009E564A"/>
    <w:rsid w:val="009E5CEF"/>
    <w:rsid w:val="009E662D"/>
    <w:rsid w:val="009F2782"/>
    <w:rsid w:val="009F439F"/>
    <w:rsid w:val="009F7113"/>
    <w:rsid w:val="009F733F"/>
    <w:rsid w:val="00A00AA0"/>
    <w:rsid w:val="00A026D2"/>
    <w:rsid w:val="00A02E80"/>
    <w:rsid w:val="00A03392"/>
    <w:rsid w:val="00A039AA"/>
    <w:rsid w:val="00A059F8"/>
    <w:rsid w:val="00A07C66"/>
    <w:rsid w:val="00A14BC0"/>
    <w:rsid w:val="00A15156"/>
    <w:rsid w:val="00A15729"/>
    <w:rsid w:val="00A15DC8"/>
    <w:rsid w:val="00A15FF0"/>
    <w:rsid w:val="00A17CB8"/>
    <w:rsid w:val="00A20174"/>
    <w:rsid w:val="00A23C75"/>
    <w:rsid w:val="00A24E47"/>
    <w:rsid w:val="00A26276"/>
    <w:rsid w:val="00A27069"/>
    <w:rsid w:val="00A27458"/>
    <w:rsid w:val="00A27C66"/>
    <w:rsid w:val="00A3463D"/>
    <w:rsid w:val="00A346D7"/>
    <w:rsid w:val="00A37356"/>
    <w:rsid w:val="00A42CFB"/>
    <w:rsid w:val="00A45AD4"/>
    <w:rsid w:val="00A50AE9"/>
    <w:rsid w:val="00A50CD9"/>
    <w:rsid w:val="00A5195A"/>
    <w:rsid w:val="00A51E6C"/>
    <w:rsid w:val="00A535B6"/>
    <w:rsid w:val="00A539DC"/>
    <w:rsid w:val="00A559C6"/>
    <w:rsid w:val="00A57223"/>
    <w:rsid w:val="00A62750"/>
    <w:rsid w:val="00A653A0"/>
    <w:rsid w:val="00A70FB3"/>
    <w:rsid w:val="00A83D11"/>
    <w:rsid w:val="00A849DB"/>
    <w:rsid w:val="00A90DEF"/>
    <w:rsid w:val="00A935FA"/>
    <w:rsid w:val="00A95E03"/>
    <w:rsid w:val="00A96FE1"/>
    <w:rsid w:val="00A97D43"/>
    <w:rsid w:val="00AA0482"/>
    <w:rsid w:val="00AA18A2"/>
    <w:rsid w:val="00AA1C01"/>
    <w:rsid w:val="00AA512E"/>
    <w:rsid w:val="00AA6107"/>
    <w:rsid w:val="00AB04B6"/>
    <w:rsid w:val="00AB1773"/>
    <w:rsid w:val="00AB26E4"/>
    <w:rsid w:val="00AB3F89"/>
    <w:rsid w:val="00AB5480"/>
    <w:rsid w:val="00AB707E"/>
    <w:rsid w:val="00AC052B"/>
    <w:rsid w:val="00AC083C"/>
    <w:rsid w:val="00AC0D63"/>
    <w:rsid w:val="00AC0E3C"/>
    <w:rsid w:val="00AC400A"/>
    <w:rsid w:val="00AC6E41"/>
    <w:rsid w:val="00AC7E06"/>
    <w:rsid w:val="00AD32EF"/>
    <w:rsid w:val="00AD3444"/>
    <w:rsid w:val="00AD67CD"/>
    <w:rsid w:val="00AD7D1F"/>
    <w:rsid w:val="00AE146E"/>
    <w:rsid w:val="00AE1BAE"/>
    <w:rsid w:val="00AE2E51"/>
    <w:rsid w:val="00AE6C5C"/>
    <w:rsid w:val="00AF0B8B"/>
    <w:rsid w:val="00AF1101"/>
    <w:rsid w:val="00AF2FAB"/>
    <w:rsid w:val="00AF6E1D"/>
    <w:rsid w:val="00AF718C"/>
    <w:rsid w:val="00B00118"/>
    <w:rsid w:val="00B0014C"/>
    <w:rsid w:val="00B013DD"/>
    <w:rsid w:val="00B0442B"/>
    <w:rsid w:val="00B04B9D"/>
    <w:rsid w:val="00B04F1C"/>
    <w:rsid w:val="00B06076"/>
    <w:rsid w:val="00B075B9"/>
    <w:rsid w:val="00B077A0"/>
    <w:rsid w:val="00B1011B"/>
    <w:rsid w:val="00B11968"/>
    <w:rsid w:val="00B130DB"/>
    <w:rsid w:val="00B140BB"/>
    <w:rsid w:val="00B14A16"/>
    <w:rsid w:val="00B1518D"/>
    <w:rsid w:val="00B153DA"/>
    <w:rsid w:val="00B16648"/>
    <w:rsid w:val="00B16B8B"/>
    <w:rsid w:val="00B178CE"/>
    <w:rsid w:val="00B2036C"/>
    <w:rsid w:val="00B21CF1"/>
    <w:rsid w:val="00B226FF"/>
    <w:rsid w:val="00B23956"/>
    <w:rsid w:val="00B25922"/>
    <w:rsid w:val="00B2596D"/>
    <w:rsid w:val="00B26F26"/>
    <w:rsid w:val="00B2768E"/>
    <w:rsid w:val="00B27D0D"/>
    <w:rsid w:val="00B3010A"/>
    <w:rsid w:val="00B30BF3"/>
    <w:rsid w:val="00B31833"/>
    <w:rsid w:val="00B34A92"/>
    <w:rsid w:val="00B34EAD"/>
    <w:rsid w:val="00B3751D"/>
    <w:rsid w:val="00B376BC"/>
    <w:rsid w:val="00B41628"/>
    <w:rsid w:val="00B43319"/>
    <w:rsid w:val="00B43341"/>
    <w:rsid w:val="00B433BC"/>
    <w:rsid w:val="00B4448D"/>
    <w:rsid w:val="00B44D33"/>
    <w:rsid w:val="00B45574"/>
    <w:rsid w:val="00B457B4"/>
    <w:rsid w:val="00B5043D"/>
    <w:rsid w:val="00B5060D"/>
    <w:rsid w:val="00B51BF2"/>
    <w:rsid w:val="00B521E7"/>
    <w:rsid w:val="00B52392"/>
    <w:rsid w:val="00B5314B"/>
    <w:rsid w:val="00B53287"/>
    <w:rsid w:val="00B53C3E"/>
    <w:rsid w:val="00B573B5"/>
    <w:rsid w:val="00B60320"/>
    <w:rsid w:val="00B64DFF"/>
    <w:rsid w:val="00B651B2"/>
    <w:rsid w:val="00B665CC"/>
    <w:rsid w:val="00B676D0"/>
    <w:rsid w:val="00B70031"/>
    <w:rsid w:val="00B70292"/>
    <w:rsid w:val="00B71109"/>
    <w:rsid w:val="00B71723"/>
    <w:rsid w:val="00B7202F"/>
    <w:rsid w:val="00B72DE3"/>
    <w:rsid w:val="00B7346B"/>
    <w:rsid w:val="00B822BB"/>
    <w:rsid w:val="00B8347B"/>
    <w:rsid w:val="00B8693B"/>
    <w:rsid w:val="00B903F8"/>
    <w:rsid w:val="00B923DF"/>
    <w:rsid w:val="00B92473"/>
    <w:rsid w:val="00B93C88"/>
    <w:rsid w:val="00B94BCA"/>
    <w:rsid w:val="00B972E1"/>
    <w:rsid w:val="00BA1D3D"/>
    <w:rsid w:val="00BA3F5E"/>
    <w:rsid w:val="00BA4AC2"/>
    <w:rsid w:val="00BA52CF"/>
    <w:rsid w:val="00BA5D54"/>
    <w:rsid w:val="00BA5F71"/>
    <w:rsid w:val="00BA6B6D"/>
    <w:rsid w:val="00BA7541"/>
    <w:rsid w:val="00BA79F7"/>
    <w:rsid w:val="00BB389C"/>
    <w:rsid w:val="00BB42A1"/>
    <w:rsid w:val="00BB55E2"/>
    <w:rsid w:val="00BB74CB"/>
    <w:rsid w:val="00BC787B"/>
    <w:rsid w:val="00BD1E20"/>
    <w:rsid w:val="00BD3A53"/>
    <w:rsid w:val="00BD540E"/>
    <w:rsid w:val="00BD5C4E"/>
    <w:rsid w:val="00BE16C3"/>
    <w:rsid w:val="00BE390A"/>
    <w:rsid w:val="00BE66AB"/>
    <w:rsid w:val="00BE7214"/>
    <w:rsid w:val="00BF0756"/>
    <w:rsid w:val="00BF1247"/>
    <w:rsid w:val="00BF2B16"/>
    <w:rsid w:val="00BF5805"/>
    <w:rsid w:val="00BF596E"/>
    <w:rsid w:val="00BF6008"/>
    <w:rsid w:val="00BF6C28"/>
    <w:rsid w:val="00C0093A"/>
    <w:rsid w:val="00C02A93"/>
    <w:rsid w:val="00C03C3E"/>
    <w:rsid w:val="00C05D7E"/>
    <w:rsid w:val="00C05E79"/>
    <w:rsid w:val="00C06994"/>
    <w:rsid w:val="00C07F5D"/>
    <w:rsid w:val="00C11B46"/>
    <w:rsid w:val="00C1312B"/>
    <w:rsid w:val="00C13362"/>
    <w:rsid w:val="00C13DE8"/>
    <w:rsid w:val="00C14A34"/>
    <w:rsid w:val="00C16E67"/>
    <w:rsid w:val="00C23FA0"/>
    <w:rsid w:val="00C271B0"/>
    <w:rsid w:val="00C363DA"/>
    <w:rsid w:val="00C37062"/>
    <w:rsid w:val="00C40B14"/>
    <w:rsid w:val="00C41E3B"/>
    <w:rsid w:val="00C4219C"/>
    <w:rsid w:val="00C44CB9"/>
    <w:rsid w:val="00C502C3"/>
    <w:rsid w:val="00C50F21"/>
    <w:rsid w:val="00C51DBF"/>
    <w:rsid w:val="00C5225D"/>
    <w:rsid w:val="00C53418"/>
    <w:rsid w:val="00C55F04"/>
    <w:rsid w:val="00C606C1"/>
    <w:rsid w:val="00C6114C"/>
    <w:rsid w:val="00C61671"/>
    <w:rsid w:val="00C638FC"/>
    <w:rsid w:val="00C63A29"/>
    <w:rsid w:val="00C63D31"/>
    <w:rsid w:val="00C63F14"/>
    <w:rsid w:val="00C64445"/>
    <w:rsid w:val="00C64E91"/>
    <w:rsid w:val="00C6669D"/>
    <w:rsid w:val="00C709DD"/>
    <w:rsid w:val="00C71CFA"/>
    <w:rsid w:val="00C723E3"/>
    <w:rsid w:val="00C804C1"/>
    <w:rsid w:val="00C81271"/>
    <w:rsid w:val="00C82311"/>
    <w:rsid w:val="00C84124"/>
    <w:rsid w:val="00C871E6"/>
    <w:rsid w:val="00C879DD"/>
    <w:rsid w:val="00C87A25"/>
    <w:rsid w:val="00C97831"/>
    <w:rsid w:val="00CA2DEB"/>
    <w:rsid w:val="00CA3B58"/>
    <w:rsid w:val="00CA405B"/>
    <w:rsid w:val="00CA456E"/>
    <w:rsid w:val="00CA5A6D"/>
    <w:rsid w:val="00CB0757"/>
    <w:rsid w:val="00CB0882"/>
    <w:rsid w:val="00CB1089"/>
    <w:rsid w:val="00CB1AC6"/>
    <w:rsid w:val="00CB37C7"/>
    <w:rsid w:val="00CB45B8"/>
    <w:rsid w:val="00CB530D"/>
    <w:rsid w:val="00CC04D0"/>
    <w:rsid w:val="00CC6631"/>
    <w:rsid w:val="00CC79F8"/>
    <w:rsid w:val="00CC7EC1"/>
    <w:rsid w:val="00CD1614"/>
    <w:rsid w:val="00CD29FD"/>
    <w:rsid w:val="00CD2CCE"/>
    <w:rsid w:val="00CD2FCE"/>
    <w:rsid w:val="00CD3A2F"/>
    <w:rsid w:val="00CD6CC1"/>
    <w:rsid w:val="00CD7AE2"/>
    <w:rsid w:val="00CD7BA6"/>
    <w:rsid w:val="00CE1317"/>
    <w:rsid w:val="00CE2627"/>
    <w:rsid w:val="00CE40C4"/>
    <w:rsid w:val="00CE5044"/>
    <w:rsid w:val="00CE5A87"/>
    <w:rsid w:val="00CF06B2"/>
    <w:rsid w:val="00CF16B3"/>
    <w:rsid w:val="00CF1C8E"/>
    <w:rsid w:val="00CF73CA"/>
    <w:rsid w:val="00D007FF"/>
    <w:rsid w:val="00D019BD"/>
    <w:rsid w:val="00D049A0"/>
    <w:rsid w:val="00D04B45"/>
    <w:rsid w:val="00D0610C"/>
    <w:rsid w:val="00D10251"/>
    <w:rsid w:val="00D12434"/>
    <w:rsid w:val="00D13B98"/>
    <w:rsid w:val="00D164E8"/>
    <w:rsid w:val="00D17FEE"/>
    <w:rsid w:val="00D20007"/>
    <w:rsid w:val="00D20AD8"/>
    <w:rsid w:val="00D267ED"/>
    <w:rsid w:val="00D26FA3"/>
    <w:rsid w:val="00D31C46"/>
    <w:rsid w:val="00D328D7"/>
    <w:rsid w:val="00D3382E"/>
    <w:rsid w:val="00D44A01"/>
    <w:rsid w:val="00D4690C"/>
    <w:rsid w:val="00D50472"/>
    <w:rsid w:val="00D5096E"/>
    <w:rsid w:val="00D53939"/>
    <w:rsid w:val="00D53C78"/>
    <w:rsid w:val="00D54A38"/>
    <w:rsid w:val="00D60944"/>
    <w:rsid w:val="00D65D41"/>
    <w:rsid w:val="00D66398"/>
    <w:rsid w:val="00D70904"/>
    <w:rsid w:val="00D70D2C"/>
    <w:rsid w:val="00D71C6B"/>
    <w:rsid w:val="00D73125"/>
    <w:rsid w:val="00D73EA5"/>
    <w:rsid w:val="00D7783C"/>
    <w:rsid w:val="00D82576"/>
    <w:rsid w:val="00D846E7"/>
    <w:rsid w:val="00D84B0E"/>
    <w:rsid w:val="00D874DD"/>
    <w:rsid w:val="00D9150C"/>
    <w:rsid w:val="00D91FA9"/>
    <w:rsid w:val="00D9204F"/>
    <w:rsid w:val="00D935DC"/>
    <w:rsid w:val="00DA09DA"/>
    <w:rsid w:val="00DA1F5A"/>
    <w:rsid w:val="00DA39A1"/>
    <w:rsid w:val="00DA3A4E"/>
    <w:rsid w:val="00DA3B85"/>
    <w:rsid w:val="00DA6036"/>
    <w:rsid w:val="00DB0877"/>
    <w:rsid w:val="00DB0CEE"/>
    <w:rsid w:val="00DB621B"/>
    <w:rsid w:val="00DB7391"/>
    <w:rsid w:val="00DC05E2"/>
    <w:rsid w:val="00DC42EB"/>
    <w:rsid w:val="00DD00AC"/>
    <w:rsid w:val="00DD11D8"/>
    <w:rsid w:val="00DD3EE0"/>
    <w:rsid w:val="00DD476D"/>
    <w:rsid w:val="00DD5856"/>
    <w:rsid w:val="00DD6AD0"/>
    <w:rsid w:val="00DE071A"/>
    <w:rsid w:val="00DE087D"/>
    <w:rsid w:val="00DE0B6D"/>
    <w:rsid w:val="00DE13BE"/>
    <w:rsid w:val="00DE228C"/>
    <w:rsid w:val="00DE252F"/>
    <w:rsid w:val="00DE2A53"/>
    <w:rsid w:val="00DE3D7C"/>
    <w:rsid w:val="00DE743D"/>
    <w:rsid w:val="00DE7E65"/>
    <w:rsid w:val="00DF2DFD"/>
    <w:rsid w:val="00DF32EE"/>
    <w:rsid w:val="00DF4BEE"/>
    <w:rsid w:val="00DF4CB1"/>
    <w:rsid w:val="00DF5169"/>
    <w:rsid w:val="00DF6C21"/>
    <w:rsid w:val="00DF7AA6"/>
    <w:rsid w:val="00E003EC"/>
    <w:rsid w:val="00E01B2B"/>
    <w:rsid w:val="00E01D27"/>
    <w:rsid w:val="00E021DE"/>
    <w:rsid w:val="00E02F35"/>
    <w:rsid w:val="00E04C60"/>
    <w:rsid w:val="00E10A87"/>
    <w:rsid w:val="00E1194F"/>
    <w:rsid w:val="00E11CF6"/>
    <w:rsid w:val="00E13FFF"/>
    <w:rsid w:val="00E1533A"/>
    <w:rsid w:val="00E15DC6"/>
    <w:rsid w:val="00E16032"/>
    <w:rsid w:val="00E17136"/>
    <w:rsid w:val="00E17752"/>
    <w:rsid w:val="00E2089A"/>
    <w:rsid w:val="00E2569B"/>
    <w:rsid w:val="00E30197"/>
    <w:rsid w:val="00E31A70"/>
    <w:rsid w:val="00E33DAE"/>
    <w:rsid w:val="00E34026"/>
    <w:rsid w:val="00E34F5B"/>
    <w:rsid w:val="00E3672F"/>
    <w:rsid w:val="00E375AF"/>
    <w:rsid w:val="00E431A9"/>
    <w:rsid w:val="00E43238"/>
    <w:rsid w:val="00E4440C"/>
    <w:rsid w:val="00E453D2"/>
    <w:rsid w:val="00E476E0"/>
    <w:rsid w:val="00E50A69"/>
    <w:rsid w:val="00E52ACC"/>
    <w:rsid w:val="00E54079"/>
    <w:rsid w:val="00E55E4D"/>
    <w:rsid w:val="00E5641F"/>
    <w:rsid w:val="00E57B07"/>
    <w:rsid w:val="00E617FA"/>
    <w:rsid w:val="00E62890"/>
    <w:rsid w:val="00E62EFC"/>
    <w:rsid w:val="00E62F1A"/>
    <w:rsid w:val="00E63315"/>
    <w:rsid w:val="00E658B9"/>
    <w:rsid w:val="00E712E0"/>
    <w:rsid w:val="00E725BD"/>
    <w:rsid w:val="00E83142"/>
    <w:rsid w:val="00E837AF"/>
    <w:rsid w:val="00E87931"/>
    <w:rsid w:val="00E87B31"/>
    <w:rsid w:val="00E87D8E"/>
    <w:rsid w:val="00E90791"/>
    <w:rsid w:val="00EA029D"/>
    <w:rsid w:val="00EA47ED"/>
    <w:rsid w:val="00EA5B74"/>
    <w:rsid w:val="00EA7C69"/>
    <w:rsid w:val="00EA7CD1"/>
    <w:rsid w:val="00EA7D04"/>
    <w:rsid w:val="00EB2F0F"/>
    <w:rsid w:val="00EB3348"/>
    <w:rsid w:val="00EB7DE0"/>
    <w:rsid w:val="00EC1DE0"/>
    <w:rsid w:val="00EC2389"/>
    <w:rsid w:val="00EC2BDC"/>
    <w:rsid w:val="00EC2C98"/>
    <w:rsid w:val="00EC37D7"/>
    <w:rsid w:val="00EC5378"/>
    <w:rsid w:val="00EC5645"/>
    <w:rsid w:val="00ED00BA"/>
    <w:rsid w:val="00ED0A96"/>
    <w:rsid w:val="00ED2060"/>
    <w:rsid w:val="00ED2403"/>
    <w:rsid w:val="00ED37A8"/>
    <w:rsid w:val="00ED4E58"/>
    <w:rsid w:val="00ED5EA3"/>
    <w:rsid w:val="00EE28B7"/>
    <w:rsid w:val="00EE4704"/>
    <w:rsid w:val="00EE760F"/>
    <w:rsid w:val="00EF2FE6"/>
    <w:rsid w:val="00EF3909"/>
    <w:rsid w:val="00EF4DBF"/>
    <w:rsid w:val="00EF5437"/>
    <w:rsid w:val="00EF7308"/>
    <w:rsid w:val="00EF7FA0"/>
    <w:rsid w:val="00F029CF"/>
    <w:rsid w:val="00F041DF"/>
    <w:rsid w:val="00F047D3"/>
    <w:rsid w:val="00F10007"/>
    <w:rsid w:val="00F101A0"/>
    <w:rsid w:val="00F1023F"/>
    <w:rsid w:val="00F10917"/>
    <w:rsid w:val="00F11BCF"/>
    <w:rsid w:val="00F1285D"/>
    <w:rsid w:val="00F14238"/>
    <w:rsid w:val="00F1447E"/>
    <w:rsid w:val="00F24405"/>
    <w:rsid w:val="00F24478"/>
    <w:rsid w:val="00F252AB"/>
    <w:rsid w:val="00F259B5"/>
    <w:rsid w:val="00F262A9"/>
    <w:rsid w:val="00F2665B"/>
    <w:rsid w:val="00F26AED"/>
    <w:rsid w:val="00F27047"/>
    <w:rsid w:val="00F27FB6"/>
    <w:rsid w:val="00F30C8A"/>
    <w:rsid w:val="00F34CB9"/>
    <w:rsid w:val="00F35317"/>
    <w:rsid w:val="00F35590"/>
    <w:rsid w:val="00F3563F"/>
    <w:rsid w:val="00F376F8"/>
    <w:rsid w:val="00F37890"/>
    <w:rsid w:val="00F37DEA"/>
    <w:rsid w:val="00F401B9"/>
    <w:rsid w:val="00F41ADD"/>
    <w:rsid w:val="00F425E3"/>
    <w:rsid w:val="00F43391"/>
    <w:rsid w:val="00F44C0E"/>
    <w:rsid w:val="00F45EE0"/>
    <w:rsid w:val="00F4616B"/>
    <w:rsid w:val="00F504C9"/>
    <w:rsid w:val="00F505E4"/>
    <w:rsid w:val="00F507E7"/>
    <w:rsid w:val="00F566D7"/>
    <w:rsid w:val="00F60053"/>
    <w:rsid w:val="00F60B72"/>
    <w:rsid w:val="00F644B0"/>
    <w:rsid w:val="00F65CE7"/>
    <w:rsid w:val="00F67212"/>
    <w:rsid w:val="00F67244"/>
    <w:rsid w:val="00F67B6F"/>
    <w:rsid w:val="00F67D6F"/>
    <w:rsid w:val="00F721F1"/>
    <w:rsid w:val="00F73D83"/>
    <w:rsid w:val="00F74C46"/>
    <w:rsid w:val="00F76889"/>
    <w:rsid w:val="00F76FD3"/>
    <w:rsid w:val="00F80AEF"/>
    <w:rsid w:val="00F81B12"/>
    <w:rsid w:val="00F82147"/>
    <w:rsid w:val="00F84A03"/>
    <w:rsid w:val="00F84D8C"/>
    <w:rsid w:val="00F8599F"/>
    <w:rsid w:val="00F85C19"/>
    <w:rsid w:val="00F929E8"/>
    <w:rsid w:val="00F93086"/>
    <w:rsid w:val="00F93B6A"/>
    <w:rsid w:val="00F943CE"/>
    <w:rsid w:val="00F944CB"/>
    <w:rsid w:val="00F97568"/>
    <w:rsid w:val="00FA0324"/>
    <w:rsid w:val="00FA0C85"/>
    <w:rsid w:val="00FA36DE"/>
    <w:rsid w:val="00FA717A"/>
    <w:rsid w:val="00FB2519"/>
    <w:rsid w:val="00FC0945"/>
    <w:rsid w:val="00FC1447"/>
    <w:rsid w:val="00FC2B60"/>
    <w:rsid w:val="00FD09C7"/>
    <w:rsid w:val="00FD5277"/>
    <w:rsid w:val="00FE47A8"/>
    <w:rsid w:val="00FE4FC5"/>
    <w:rsid w:val="00FE65A1"/>
    <w:rsid w:val="00FE6FEC"/>
    <w:rsid w:val="00FE7941"/>
    <w:rsid w:val="00FF1046"/>
    <w:rsid w:val="00FF174D"/>
    <w:rsid w:val="00FF1CDB"/>
    <w:rsid w:val="00FF4F37"/>
    <w:rsid w:val="00FF539D"/>
    <w:rsid w:val="00FF549E"/>
    <w:rsid w:val="00FF68EE"/>
    <w:rsid w:val="00FF6DEE"/>
    <w:rsid w:val="00FF7A51"/>
    <w:rsid w:val="0545598B"/>
    <w:rsid w:val="0B6E67A8"/>
    <w:rsid w:val="19D50672"/>
    <w:rsid w:val="20CD7436"/>
    <w:rsid w:val="26B84D5C"/>
    <w:rsid w:val="2936112A"/>
    <w:rsid w:val="2A3D6024"/>
    <w:rsid w:val="321A4C51"/>
    <w:rsid w:val="36662197"/>
    <w:rsid w:val="36F23D46"/>
    <w:rsid w:val="3AFE3F34"/>
    <w:rsid w:val="3EB83E62"/>
    <w:rsid w:val="4D7FA3F5"/>
    <w:rsid w:val="4E6F3D8F"/>
    <w:rsid w:val="506A27B4"/>
    <w:rsid w:val="5C2513BE"/>
    <w:rsid w:val="5DBE0D7E"/>
    <w:rsid w:val="61367DA5"/>
    <w:rsid w:val="69740BB4"/>
    <w:rsid w:val="6BEF4EE5"/>
    <w:rsid w:val="6FF36C38"/>
    <w:rsid w:val="70AF41E9"/>
    <w:rsid w:val="72AF2CB9"/>
    <w:rsid w:val="78BA2092"/>
    <w:rsid w:val="7A7F133D"/>
    <w:rsid w:val="7C9E6F1F"/>
    <w:rsid w:val="7CB535DF"/>
    <w:rsid w:val="7F58A9A0"/>
    <w:rsid w:val="D7FA444E"/>
    <w:rsid w:val="F77BE5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5">
    <w:name w:val="Default Paragraph Font"/>
    <w:unhideWhenUsed/>
    <w:qFormat/>
    <w:uiPriority w:val="1"/>
  </w:style>
  <w:style w:type="table" w:default="1" w:styleId="2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58"/>
    <w:qFormat/>
    <w:uiPriority w:val="0"/>
    <w:rPr>
      <w:b/>
      <w:bCs/>
    </w:rPr>
  </w:style>
  <w:style w:type="paragraph" w:styleId="4">
    <w:name w:val="annotation text"/>
    <w:basedOn w:val="1"/>
    <w:link w:val="56"/>
    <w:qFormat/>
    <w:uiPriority w:val="0"/>
    <w:pPr>
      <w:jc w:val="left"/>
    </w:pPr>
  </w:style>
  <w:style w:type="paragraph" w:styleId="5">
    <w:name w:val="Document Map"/>
    <w:basedOn w:val="1"/>
    <w:link w:val="47"/>
    <w:qFormat/>
    <w:uiPriority w:val="0"/>
    <w:pPr>
      <w:shd w:val="clear" w:color="auto" w:fill="000080"/>
    </w:pPr>
  </w:style>
  <w:style w:type="paragraph" w:styleId="6">
    <w:name w:val="Body Text Indent"/>
    <w:basedOn w:val="1"/>
    <w:link w:val="45"/>
    <w:qFormat/>
    <w:uiPriority w:val="0"/>
    <w:pPr>
      <w:adjustRightInd w:val="0"/>
      <w:spacing w:line="312" w:lineRule="atLeast"/>
      <w:ind w:firstLine="420"/>
      <w:textAlignment w:val="baseline"/>
    </w:pPr>
    <w:rPr>
      <w:kern w:val="0"/>
      <w:sz w:val="24"/>
      <w:szCs w:val="20"/>
    </w:rPr>
  </w:style>
  <w:style w:type="paragraph" w:styleId="7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8">
    <w:name w:val="Plain Text"/>
    <w:basedOn w:val="1"/>
    <w:link w:val="54"/>
    <w:qFormat/>
    <w:uiPriority w:val="0"/>
    <w:rPr>
      <w:rFonts w:ascii="宋体" w:hAnsi="Courier New"/>
      <w:szCs w:val="20"/>
    </w:rPr>
  </w:style>
  <w:style w:type="paragraph" w:styleId="9">
    <w:name w:val="Date"/>
    <w:basedOn w:val="1"/>
    <w:next w:val="1"/>
    <w:link w:val="44"/>
    <w:qFormat/>
    <w:uiPriority w:val="0"/>
    <w:pPr>
      <w:ind w:left="100" w:leftChars="2500"/>
    </w:pPr>
  </w:style>
  <w:style w:type="paragraph" w:styleId="10">
    <w:name w:val="Balloon Text"/>
    <w:basedOn w:val="1"/>
    <w:link w:val="53"/>
    <w:qFormat/>
    <w:uiPriority w:val="0"/>
    <w:rPr>
      <w:sz w:val="18"/>
      <w:szCs w:val="18"/>
    </w:rPr>
  </w:style>
  <w:style w:type="paragraph" w:styleId="11">
    <w:name w:val="footer"/>
    <w:basedOn w:val="1"/>
    <w:link w:val="5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5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pPr>
      <w:tabs>
        <w:tab w:val="right" w:leader="dot" w:pos="8460"/>
      </w:tabs>
      <w:spacing w:line="360" w:lineRule="auto"/>
      <w:ind w:firstLine="480" w:firstLineChars="200"/>
    </w:pPr>
  </w:style>
  <w:style w:type="paragraph" w:styleId="14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character" w:styleId="16">
    <w:name w:val="page number"/>
    <w:basedOn w:val="15"/>
    <w:qFormat/>
    <w:uiPriority w:val="0"/>
  </w:style>
  <w:style w:type="character" w:styleId="17">
    <w:name w:val="FollowedHyperlink"/>
    <w:qFormat/>
    <w:uiPriority w:val="99"/>
    <w:rPr>
      <w:color w:val="800080"/>
      <w:u w:val="single"/>
    </w:rPr>
  </w:style>
  <w:style w:type="character" w:styleId="18">
    <w:name w:val="Hyperlink"/>
    <w:qFormat/>
    <w:uiPriority w:val="99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b/>
      <w:bCs/>
      <w:kern w:val="0"/>
      <w:sz w:val="16"/>
      <w:szCs w:val="16"/>
    </w:rPr>
  </w:style>
  <w:style w:type="paragraph" w:customStyle="1" w:styleId="23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4">
    <w:name w:val="样式2"/>
    <w:basedOn w:val="6"/>
    <w:qFormat/>
    <w:uiPriority w:val="0"/>
    <w:pPr>
      <w:adjustRightInd/>
      <w:snapToGrid w:val="0"/>
      <w:spacing w:before="350" w:beforeLines="100" w:after="350" w:afterLines="100" w:line="240" w:lineRule="auto"/>
      <w:ind w:firstLine="480" w:firstLineChars="200"/>
      <w:jc w:val="center"/>
      <w:textAlignment w:val="auto"/>
    </w:pPr>
    <w:rPr>
      <w:rFonts w:eastAsia="方正小标宋简体"/>
      <w:b/>
      <w:bCs/>
      <w:sz w:val="32"/>
      <w:szCs w:val="32"/>
    </w:rPr>
  </w:style>
  <w:style w:type="paragraph" w:customStyle="1" w:styleId="25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27">
    <w:name w:val="xl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28">
    <w:name w:val="样式3"/>
    <w:basedOn w:val="24"/>
    <w:qFormat/>
    <w:uiPriority w:val="0"/>
    <w:pPr>
      <w:ind w:firstLine="643"/>
    </w:pPr>
    <w:rPr>
      <w:b w:val="0"/>
    </w:rPr>
  </w:style>
  <w:style w:type="paragraph" w:customStyle="1" w:styleId="29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2">
    <w:name w:val="_Style 3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3">
    <w:name w:val="默认段落字体 Para Char Char Char"/>
    <w:basedOn w:val="1"/>
    <w:qFormat/>
    <w:uiPriority w:val="0"/>
    <w:pPr>
      <w:spacing w:line="360" w:lineRule="auto"/>
      <w:ind w:firstLine="210"/>
      <w:jc w:val="left"/>
    </w:pPr>
    <w:rPr>
      <w:sz w:val="24"/>
    </w:rPr>
  </w:style>
  <w:style w:type="paragraph" w:customStyle="1" w:styleId="34">
    <w:name w:val="默认段落字体 Para Char"/>
    <w:basedOn w:val="1"/>
    <w:qFormat/>
    <w:uiPriority w:val="0"/>
    <w:pPr>
      <w:spacing w:line="360" w:lineRule="auto"/>
      <w:ind w:firstLine="200" w:firstLineChars="200"/>
    </w:pPr>
    <w:rPr>
      <w:rFonts w:ascii="宋体" w:hAnsi="宋体" w:cs="宋体"/>
      <w:sz w:val="24"/>
    </w:rPr>
  </w:style>
  <w:style w:type="paragraph" w:customStyle="1" w:styleId="35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b/>
      <w:bCs/>
      <w:kern w:val="0"/>
      <w:sz w:val="16"/>
      <w:szCs w:val="16"/>
    </w:rPr>
  </w:style>
  <w:style w:type="paragraph" w:customStyle="1" w:styleId="36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37">
    <w:name w:val="Char Char1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38">
    <w:name w:val="Char Char1 Char Char Char Char Char Char Char 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3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40">
    <w:name w:val="xl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41">
    <w:name w:val="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42">
    <w:name w:val="xl71"/>
    <w:basedOn w:val="1"/>
    <w:qFormat/>
    <w:uiPriority w:val="0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43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character" w:customStyle="1" w:styleId="44">
    <w:name w:val="日期 Char"/>
    <w:link w:val="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5">
    <w:name w:val="正文文本缩进 Char"/>
    <w:link w:val="6"/>
    <w:qFormat/>
    <w:locked/>
    <w:uiPriority w:val="0"/>
    <w:rPr>
      <w:sz w:val="24"/>
    </w:rPr>
  </w:style>
  <w:style w:type="character" w:customStyle="1" w:styleId="46">
    <w:name w:val="Char Char6"/>
    <w:qFormat/>
    <w:uiPriority w:val="0"/>
    <w:rPr>
      <w:kern w:val="2"/>
      <w:sz w:val="18"/>
      <w:szCs w:val="18"/>
    </w:rPr>
  </w:style>
  <w:style w:type="character" w:customStyle="1" w:styleId="47">
    <w:name w:val="文档结构图 Char"/>
    <w:link w:val="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48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4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50">
    <w:name w:val="标题 1 Char"/>
    <w:link w:val="2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51">
    <w:name w:val="页脚 Char"/>
    <w:link w:val="11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2">
    <w:name w:val="Char Char7"/>
    <w:qFormat/>
    <w:uiPriority w:val="0"/>
    <w:rPr>
      <w:kern w:val="2"/>
      <w:sz w:val="18"/>
      <w:szCs w:val="18"/>
    </w:rPr>
  </w:style>
  <w:style w:type="character" w:customStyle="1" w:styleId="53">
    <w:name w:val="批注框文本 Char"/>
    <w:link w:val="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">
    <w:name w:val="纯文本 Char"/>
    <w:link w:val="8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55">
    <w:name w:val="页眉 Char"/>
    <w:qFormat/>
    <w:uiPriority w:val="99"/>
    <w:rPr>
      <w:kern w:val="2"/>
      <w:sz w:val="18"/>
      <w:szCs w:val="18"/>
    </w:rPr>
  </w:style>
  <w:style w:type="character" w:customStyle="1" w:styleId="56">
    <w:name w:val="批注文字 Char"/>
    <w:link w:val="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7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8">
    <w:name w:val="批注主题 Char"/>
    <w:link w:val="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9">
    <w:name w:val="页眉 Char2"/>
    <w:link w:val="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60">
    <w:name w:val="font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61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62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3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64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65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66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67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68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9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kern w:val="0"/>
      <w:szCs w:val="21"/>
    </w:rPr>
  </w:style>
  <w:style w:type="paragraph" w:customStyle="1" w:styleId="70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71">
    <w:name w:val="xl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72">
    <w:name w:val="xl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73">
    <w:name w:val="xl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74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8"/>
      <w:szCs w:val="18"/>
    </w:rPr>
  </w:style>
  <w:style w:type="paragraph" w:customStyle="1" w:styleId="75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76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18"/>
      <w:szCs w:val="18"/>
    </w:rPr>
  </w:style>
  <w:style w:type="paragraph" w:customStyle="1" w:styleId="77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18"/>
      <w:szCs w:val="18"/>
    </w:rPr>
  </w:style>
  <w:style w:type="paragraph" w:customStyle="1" w:styleId="78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79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18"/>
      <w:szCs w:val="18"/>
    </w:rPr>
  </w:style>
  <w:style w:type="paragraph" w:customStyle="1" w:styleId="8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18"/>
      <w:szCs w:val="18"/>
    </w:rPr>
  </w:style>
  <w:style w:type="paragraph" w:customStyle="1" w:styleId="81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82">
    <w:name w:val="xl8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83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85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86">
    <w:name w:val="xl91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87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kern w:val="0"/>
      <w:sz w:val="18"/>
      <w:szCs w:val="18"/>
    </w:rPr>
  </w:style>
  <w:style w:type="paragraph" w:customStyle="1" w:styleId="88">
    <w:name w:val="xl93"/>
    <w:basedOn w:val="1"/>
    <w:qFormat/>
    <w:uiPriority w:val="0"/>
    <w:pPr>
      <w:widowControl/>
      <w:spacing w:before="100" w:beforeAutospacing="1" w:after="100" w:afterAutospacing="1"/>
      <w:textAlignment w:val="center"/>
    </w:pPr>
    <w:rPr>
      <w:kern w:val="0"/>
      <w:sz w:val="18"/>
      <w:szCs w:val="18"/>
    </w:rPr>
  </w:style>
  <w:style w:type="paragraph" w:customStyle="1" w:styleId="89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90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1">
    <w:name w:val="xl96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2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3">
    <w:name w:val="xl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4">
    <w:name w:val="xl9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5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96">
    <w:name w:val="xl10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98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">
    <w:name w:val="xl10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100">
    <w:name w:val="xl1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10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02">
    <w:name w:val="xl1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103">
    <w:name w:val="xl1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8"/>
      <w:szCs w:val="18"/>
    </w:rPr>
  </w:style>
  <w:style w:type="paragraph" w:customStyle="1" w:styleId="105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">
    <w:name w:val="xl11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107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8">
    <w:name w:val="xl1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0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kern w:val="0"/>
      <w:sz w:val="18"/>
      <w:szCs w:val="18"/>
    </w:rPr>
  </w:style>
  <w:style w:type="paragraph" w:customStyle="1" w:styleId="111">
    <w:name w:val="xl1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2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kern w:val="0"/>
      <w:sz w:val="18"/>
      <w:szCs w:val="18"/>
    </w:rPr>
  </w:style>
  <w:style w:type="paragraph" w:customStyle="1" w:styleId="113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kern w:val="0"/>
      <w:sz w:val="18"/>
      <w:szCs w:val="18"/>
    </w:rPr>
  </w:style>
  <w:style w:type="paragraph" w:customStyle="1" w:styleId="114">
    <w:name w:val="xl11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15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18"/>
      <w:szCs w:val="18"/>
    </w:rPr>
  </w:style>
  <w:style w:type="paragraph" w:customStyle="1" w:styleId="117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8"/>
      <w:szCs w:val="18"/>
    </w:rPr>
  </w:style>
  <w:style w:type="paragraph" w:customStyle="1" w:styleId="118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19">
    <w:name w:val="xl12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0">
    <w:name w:val="xl1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kern w:val="0"/>
      <w:sz w:val="18"/>
      <w:szCs w:val="18"/>
    </w:rPr>
  </w:style>
  <w:style w:type="paragraph" w:customStyle="1" w:styleId="121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color w:val="000000"/>
      <w:kern w:val="0"/>
      <w:sz w:val="18"/>
      <w:szCs w:val="18"/>
    </w:rPr>
  </w:style>
  <w:style w:type="paragraph" w:customStyle="1" w:styleId="122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Segoe UI Symbol" w:hAnsi="Segoe UI Symbol" w:cs="宋体"/>
      <w:color w:val="000000"/>
      <w:kern w:val="0"/>
      <w:sz w:val="18"/>
      <w:szCs w:val="18"/>
    </w:rPr>
  </w:style>
  <w:style w:type="paragraph" w:customStyle="1" w:styleId="1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4">
    <w:name w:val="xl1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kern w:val="0"/>
      <w:sz w:val="18"/>
      <w:szCs w:val="18"/>
    </w:rPr>
  </w:style>
  <w:style w:type="paragraph" w:customStyle="1" w:styleId="125">
    <w:name w:val="xl1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126">
    <w:name w:val="xl1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7">
    <w:name w:val="xl1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18"/>
      <w:szCs w:val="18"/>
    </w:rPr>
  </w:style>
  <w:style w:type="paragraph" w:customStyle="1" w:styleId="128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29">
    <w:name w:val="xl1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0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1">
    <w:name w:val="xl1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2">
    <w:name w:val="xl1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3">
    <w:name w:val="xl13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kern w:val="0"/>
      <w:sz w:val="18"/>
      <w:szCs w:val="18"/>
    </w:rPr>
  </w:style>
  <w:style w:type="paragraph" w:customStyle="1" w:styleId="134">
    <w:name w:val="xl13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color w:val="000000"/>
      <w:kern w:val="0"/>
      <w:sz w:val="18"/>
      <w:szCs w:val="18"/>
    </w:rPr>
  </w:style>
  <w:style w:type="paragraph" w:customStyle="1" w:styleId="135">
    <w:name w:val="xl14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136">
    <w:name w:val="xl14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">
    <w:name w:val="xl14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color w:val="000000"/>
      <w:kern w:val="0"/>
      <w:sz w:val="18"/>
      <w:szCs w:val="18"/>
    </w:rPr>
  </w:style>
  <w:style w:type="paragraph" w:customStyle="1" w:styleId="138">
    <w:name w:val="xl14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9">
    <w:name w:val="xl1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8"/>
      <w:szCs w:val="18"/>
    </w:rPr>
  </w:style>
  <w:style w:type="paragraph" w:customStyle="1" w:styleId="140">
    <w:name w:val="xl1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8"/>
      <w:szCs w:val="18"/>
    </w:rPr>
  </w:style>
  <w:style w:type="paragraph" w:customStyle="1" w:styleId="141">
    <w:name w:val="xl1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2">
    <w:name w:val="xl147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5">
    <w:name w:val="xl1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">
    <w:name w:val="xl151"/>
    <w:basedOn w:val="1"/>
    <w:qFormat/>
    <w:uiPriority w:val="0"/>
    <w:pPr>
      <w:widowControl/>
      <w:pBdr>
        <w:lef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">
    <w:name w:val="xl1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48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18"/>
      <w:szCs w:val="18"/>
    </w:rPr>
  </w:style>
  <w:style w:type="paragraph" w:customStyle="1" w:styleId="149">
    <w:name w:val="xl15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0">
    <w:name w:val="xl155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">
    <w:name w:val="xl156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">
    <w:name w:val="xl15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">
    <w:name w:val="xl158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15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5">
    <w:name w:val="xl16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">
    <w:name w:val="xl161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7">
    <w:name w:val="xl162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1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18"/>
      <w:szCs w:val="18"/>
    </w:rPr>
  </w:style>
  <w:style w:type="paragraph" w:customStyle="1" w:styleId="159">
    <w:name w:val="xl16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60">
    <w:name w:val="xl16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62">
    <w:name w:val="xl1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3">
    <w:name w:val="xl16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4">
    <w:name w:val="xl169"/>
    <w:basedOn w:val="1"/>
    <w:qFormat/>
    <w:uiPriority w:val="0"/>
    <w:pPr>
      <w:widowControl/>
      <w:pBdr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5">
    <w:name w:val="xl1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">
    <w:name w:val="xl17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8">
    <w:name w:val="xl17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9">
    <w:name w:val="xl17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0">
    <w:name w:val="xl17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">
    <w:name w:val="xl1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">
    <w:name w:val="xl179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75">
    <w:name w:val="xl18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76">
    <w:name w:val="xl18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77">
    <w:name w:val="xl18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78">
    <w:name w:val="xl18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179">
    <w:name w:val="xl184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5016</Words>
  <Characters>4079</Characters>
  <Lines>33</Lines>
  <Paragraphs>18</Paragraphs>
  <TotalTime>0</TotalTime>
  <ScaleCrop>false</ScaleCrop>
  <LinksUpToDate>false</LinksUpToDate>
  <CharactersWithSpaces>9077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2018-07-05T01:11:00Z</dcterms:created>
  <dc:creator>jwc</dc:creator>
  <cp:lastModifiedBy>admin</cp:lastModifiedBy>
  <cp:lastPrinted>2018-04-16T18:26:00Z</cp:lastPrinted>
  <dcterms:modified xsi:type="dcterms:W3CDTF">2019-07-16T06:37:32Z</dcterms:modified>
  <dc:subject>核</dc:subject>
  <dc:title>2014培养方案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办公室">
    <vt:lpwstr>jyk</vt:lpwstr>
  </property>
  <property fmtid="{D5CDD505-2E9C-101B-9397-08002B2CF9AE}" pid="3" name="完成日期">
    <vt:lpwstr>20110503</vt:lpwstr>
  </property>
  <property fmtid="{D5CDD505-2E9C-101B-9397-08002B2CF9AE}" pid="4" name="KSOProductBuildVer">
    <vt:lpwstr>2052-10.1.0.5554</vt:lpwstr>
  </property>
</Properties>
</file>